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header2.xml" ContentType="application/vnd.openxmlformats-officedocument.wordprocessingml.header+xml"/>
  <Override PartName="/word/header1.xml" ContentType="application/vnd.openxmlformats-officedocument.wordprocessingml.header+xml"/>
  <Override PartName="/word/header17.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header21.xml" ContentType="application/vnd.openxmlformats-officedocument.wordprocessingml.header+xml"/>
  <Override PartName="/word/header24.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document.xml" ContentType="application/vnd.openxmlformats-officedocument.wordprocessingml.document.main+xml"/>
  <Override PartName="/word/header22.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header11.xml" ContentType="application/vnd.openxmlformats-officedocument.wordprocessingml.header+xml"/>
  <Override PartName="/word/numbering.xml" ContentType="application/vnd.openxmlformats-officedocument.wordprocessingml.numbering+xml"/>
  <Override PartName="/word/header10.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8.xml" ContentType="application/vnd.openxmlformats-officedocument.wordprocessingml.header+xml"/>
  <Override PartName="/word/header13.xml" ContentType="application/vnd.openxmlformats-officedocument.wordprocessingml.header+xml"/>
  <Override PartName="/word/header20.xml" ContentType="application/vnd.openxmlformats-officedocument.wordprocessingml.header+xml"/>
  <Override PartName="/word/header23.xml" ContentType="application/vnd.openxmlformats-officedocument.wordprocessingml.header+xml"/>
  <Override PartName="/word/header14.xml" ContentType="application/vnd.openxmlformats-officedocument.wordprocessingml.header+xml"/>
  <Override PartName="/word/header19.xml" ContentType="application/vnd.openxmlformats-officedocument.wordprocessingml.header+xml"/>
  <Override PartName="/docProps/core.xml" ContentType="application/vnd.openxmlformats-package.core-properties+xml"/>
  <Override PartName="/word/header7.xml" ContentType="application/vnd.openxmlformats-officedocument.wordprocessingml.header+xml"/>
  <Override PartName="/word/header9.xml" ContentType="application/vnd.openxmlformats-officedocument.wordprocessingml.header+xml"/>
  <Override PartName="/word/styles.xml" ContentType="application/vnd.openxmlformats-officedocument.wordprocessingml.styles+xml"/>
  <Override PartName="/word/header8.xml" ContentType="application/vnd.openxmlformats-officedocument.wordprocessingml.header+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4.xml" ContentType="application/xml"/>
  <Override PartName="/customXml/item2.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1E2EB57F" Type="http://schemas.openxmlformats.org/officeDocument/2006/relationships/officeDocument" Target="word/document.xml"/><Relationship Id="rId1" Type="http://schemas.openxmlformats.org/officeDocument/2006/relationships/custom-properties" Target="docProps/custom.xml"/><Relationship Id="R1479B68B"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319" w:firstLine="0"/>
      </w:pPr>
      <w:r>
        <w:rPr/>
        <w:t xml:space="preserve"> </w:t>
      </w:r>
      <w:r>
        <w:rPr>
          <w:sz w:val="37"/>
          <w:vertAlign w:val="subscript"/>
        </w:rPr>
        <w:t xml:space="preserve"> 	</w:t>
      </w:r>
      <w:r>
        <w:rPr>
          <w:sz w:val="40"/>
        </w:rPr>
        <w:t xml:space="preserve"> </w:t>
      </w:r>
    </w:p>
    <w:p>
      <w:pPr>
        <w:spacing w:before="0" w:after="199" w:line="259" w:lineRule="auto"/>
        <w:ind w:left="319" w:firstLine="0"/>
        <w:jc w:val="left"/>
      </w:pPr>
      <w:r>
        <w:rPr>
          <w:sz w:val="2"/>
        </w:rPr>
        <w:t xml:space="preserve"> </w:t>
      </w:r>
    </w:p>
    <w:p>
      <w:pPr>
        <w:spacing w:before="0" w:after="0" w:line="259" w:lineRule="auto"/>
        <w:ind w:left="0" w:right="230" w:firstLine="0"/>
        <w:jc w:val="center"/>
      </w:pPr>
      <w:r>
        <w:rPr>
          <w:sz w:val="24"/>
        </w:rPr>
        <w:t xml:space="preserve"> </w:t>
      </w:r>
    </w:p>
    <w:p>
      <w:pPr>
        <w:spacing w:before="0" w:after="0" w:line="259" w:lineRule="auto"/>
        <w:ind w:left="0" w:right="230" w:firstLine="0"/>
        <w:jc w:val="center"/>
      </w:pPr>
      <w:r>
        <w:rPr>
          <w:sz w:val="24"/>
        </w:rPr>
        <w:t xml:space="preserve"> </w:t>
      </w:r>
    </w:p>
    <w:p>
      <w:pPr>
        <w:spacing w:before="0" w:after="0" w:line="259" w:lineRule="auto"/>
        <w:ind w:left="0" w:right="230" w:firstLine="0"/>
        <w:jc w:val="center"/>
      </w:pPr>
      <w:r>
        <w:rPr>
          <w:sz w:val="24"/>
        </w:rPr>
        <w:t xml:space="preserve"> </w:t>
      </w:r>
    </w:p>
    <w:p>
      <w:pPr>
        <w:spacing w:before="0" w:after="0" w:line="259" w:lineRule="auto"/>
        <w:ind w:left="319" w:firstLine="0"/>
        <w:jc w:val="left"/>
      </w:pPr>
      <w:r>
        <w:rPr>
          <w:sz w:val="24"/>
        </w:rPr>
        <w:t xml:space="preserve"> </w:t>
      </w:r>
    </w:p>
    <w:p>
      <w:pPr>
        <w:spacing w:before="0" w:after="8" w:line="259" w:lineRule="auto"/>
        <w:ind w:left="448" w:firstLine="0"/>
        <w:jc w:val="left"/>
      </w:pPr>
      <w:r>
        <w:rPr>
          <w:rFonts w:cs="Calibri" w:hAnsi="Calibri" w:eastAsia="Calibri" w:ascii="Calibri"/>
          <w:sz w:val="22"/>
        </w:rPr>
        <w:drawing>
          <wp:inline distT="0" distB="0" distL="0" distR="0">
            <wp:extent cx="5776340" cy="1333703"/>
            <wp:docPr id="179576" name="Group 179576"/>
            <wp:cNvGraphicFramePr/>
            <a:graphic>
              <a:graphicData uri="http://schemas.microsoft.com/office/word/2010/wordprocessingGroup">
                <wpg:wgp>
                  <wpg:cNvGrpSpPr/>
                  <wpg:grpSpPr>
                    <a:xfrm>
                      <a:off x="0" y="0"/>
                      <a:ext cx="5776340" cy="1333703"/>
                      <a:chOff x="0" y="0"/>
                      <a:chExt cx="5776340" cy="1333703"/>
                    </a:xfrm>
                  </wpg:grpSpPr>
                  <pic:pic xmlns:pic="http://schemas.openxmlformats.org/drawingml/2006/picture">
                    <pic:nvPicPr>
                      <pic:cNvPr id="20364" name="Picture 20364"/>
                      <pic:cNvPicPr/>
                    </pic:nvPicPr>
                    <pic:blipFill>
                      <a:blip r:embed="rId58"/>
                      <a:stretch>
                        <a:fillRect/>
                      </a:stretch>
                    </pic:blipFill>
                    <pic:spPr>
                      <a:xfrm>
                        <a:off x="0" y="0"/>
                        <a:ext cx="1088637" cy="1290080"/>
                      </a:xfrm>
                      <a:prstGeom prst="rect">
                        <a:avLst/>
                      </a:prstGeom>
                    </pic:spPr>
                  </pic:pic>
                  <pic:pic xmlns:pic="http://schemas.openxmlformats.org/drawingml/2006/picture">
                    <pic:nvPicPr>
                      <pic:cNvPr id="20694" name="Picture 20694"/>
                      <pic:cNvPicPr/>
                    </pic:nvPicPr>
                    <pic:blipFill>
                      <a:blip r:embed="rId59"/>
                      <a:stretch>
                        <a:fillRect/>
                      </a:stretch>
                    </pic:blipFill>
                    <pic:spPr>
                      <a:xfrm>
                        <a:off x="5109590" y="19253"/>
                        <a:ext cx="666750" cy="1314450"/>
                      </a:xfrm>
                      <a:prstGeom prst="rect">
                        <a:avLst/>
                      </a:prstGeom>
                    </pic:spPr>
                  </pic:pic>
                </wpg:wgp>
              </a:graphicData>
            </a:graphic>
          </wp:inline>
        </w:drawing>
      </w:r>
    </w:p>
    <w:p>
      <w:pPr>
        <w:spacing w:before="0" w:after="67" w:line="249" w:lineRule="auto"/>
        <w:ind w:left="5195" w:right="1065" w:hanging="4357"/>
        <w:jc w:val="left"/>
      </w:pP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Burkina Faso</w:t>
      </w:r>
      <w:r>
        <w:rPr>
          <w:rFonts w:cs="Times New Roman" w:hAnsi="Times New Roman" w:eastAsia="Times New Roman" w:ascii="Times New Roman"/>
          <w:b w:val="1"/>
          <w:sz w:val="24"/>
        </w:rPr>
        <w:t xml:space="preserve">  </w:t>
      </w:r>
    </w:p>
    <w:p>
      <w:pPr>
        <w:pStyle w:val="heading1"/>
        <w:spacing w:before="0" w:after="0" w:line="259" w:lineRule="auto"/>
      </w:pPr>
      <w:r>
        <w:rPr/>
        <w:t xml:space="preserve">Gouvernement du Burkina Faso</w:t>
      </w:r>
      <w:r>
        <w:rPr/>
        <w:t xml:space="preserve"> </w:t>
      </w:r>
    </w:p>
    <w:p>
      <w:pPr>
        <w:spacing w:before="0" w:after="0" w:line="259" w:lineRule="auto"/>
        <w:ind w:left="0" w:right="210" w:firstLine="0"/>
        <w:jc w:val="center"/>
      </w:pPr>
      <w:r>
        <w:rPr>
          <w:sz w:val="32"/>
        </w:rPr>
        <w:t xml:space="preserve"> </w:t>
      </w:r>
    </w:p>
    <w:p>
      <w:pPr>
        <w:spacing w:before="0" w:after="0" w:line="259" w:lineRule="auto"/>
        <w:ind w:left="1505" w:firstLine="0"/>
        <w:jc w:val="left"/>
      </w:pPr>
      <w:r>
        <w:rPr>
          <w:rFonts w:cs="Times New Roman" w:hAnsi="Times New Roman" w:eastAsia="Times New Roman" w:ascii="Times New Roman"/>
          <w:b w:val="1"/>
          <w:sz w:val="32"/>
        </w:rPr>
        <w:t xml:space="preserve">Programme des Nations Unies pour le Développement</w:t>
      </w:r>
      <w:r>
        <w:rPr>
          <w:rFonts w:cs="Times New Roman" w:hAnsi="Times New Roman" w:eastAsia="Times New Roman" w:ascii="Times New Roman"/>
          <w:b w:val="1"/>
          <w:sz w:val="32"/>
        </w:rPr>
        <w:t xml:space="preserve"> </w:t>
      </w:r>
    </w:p>
    <w:p>
      <w:pPr>
        <w:spacing w:before="0" w:after="128" w:line="259" w:lineRule="auto"/>
        <w:ind w:left="0" w:right="230" w:firstLine="0"/>
        <w:jc w:val="center"/>
      </w:pPr>
      <w:r>
        <w:rPr>
          <w:rFonts w:cs="Times New Roman" w:hAnsi="Times New Roman" w:eastAsia="Times New Roman" w:ascii="Times New Roman"/>
          <w:b w:val="1"/>
          <w:sz w:val="24"/>
        </w:rPr>
        <w:t xml:space="preserve"> </w:t>
      </w:r>
    </w:p>
    <w:p>
      <w:pPr>
        <w:spacing w:before="0" w:after="0" w:line="259" w:lineRule="auto"/>
        <w:ind w:left="1800" w:firstLine="0"/>
        <w:jc w:val="left"/>
      </w:pPr>
      <w:r>
        <w:rPr>
          <w:sz w:val="32"/>
        </w:rPr>
        <w:t xml:space="preserve">Titre du projet</w:t>
      </w:r>
      <w:r>
        <w:rPr>
          <w:rFonts w:cs="Times New Roman" w:hAnsi="Times New Roman" w:eastAsia="Times New Roman" w:ascii="Times New Roman"/>
          <w:b w:val="1"/>
          <w:sz w:val="32"/>
        </w:rPr>
        <w:t xml:space="preserve"> </w:t>
      </w:r>
      <w:r>
        <w:rPr>
          <w:rFonts w:cs="Times New Roman" w:hAnsi="Times New Roman" w:eastAsia="Times New Roman" w:ascii="Times New Roman"/>
          <w:b w:val="1"/>
          <w:sz w:val="32"/>
        </w:rPr>
        <w:t xml:space="preserve">: </w:t>
      </w:r>
      <w:r>
        <w:rPr>
          <w:rFonts w:cs="Calibri" w:hAnsi="Calibri" w:eastAsia="Calibri" w:ascii="Calibri"/>
          <w:sz w:val="32"/>
        </w:rPr>
        <w:t xml:space="preserve">c</w:t>
      </w:r>
      <w:r>
        <w:rPr>
          <w:rFonts w:cs="Calibri" w:hAnsi="Calibri" w:eastAsia="Calibri" w:ascii="Calibri"/>
          <w:sz w:val="24"/>
        </w:rPr>
        <w:t xml:space="preserve">ONSOLIDATION DE</w:t>
      </w:r>
      <w:r>
        <w:rPr>
          <w:rFonts w:cs="Calibri" w:hAnsi="Calibri" w:eastAsia="Calibri" w:ascii="Calibri"/>
          <w:sz w:val="24"/>
        </w:rPr>
        <w:t xml:space="preserve"> </w:t>
      </w:r>
      <w:r>
        <w:rPr>
          <w:rFonts w:cs="Calibri" w:hAnsi="Calibri" w:eastAsia="Calibri" w:ascii="Calibri"/>
          <w:sz w:val="24"/>
        </w:rPr>
        <w:t xml:space="preserve">LA GOUVERNANCE </w:t>
      </w:r>
      <w:r>
        <w:rPr>
          <w:rFonts w:cs="Calibri" w:hAnsi="Calibri" w:eastAsia="Calibri" w:ascii="Calibri"/>
          <w:sz w:val="24"/>
        </w:rPr>
        <w:t xml:space="preserve"> </w:t>
      </w:r>
    </w:p>
    <w:p>
      <w:pPr>
        <w:spacing w:before="0" w:after="0" w:line="259" w:lineRule="auto"/>
        <w:ind w:left="0" w:right="289" w:firstLine="0"/>
        <w:jc w:val="center"/>
      </w:pPr>
      <w:r>
        <w:rPr>
          <w:rFonts w:cs="Calibri" w:hAnsi="Calibri" w:eastAsia="Calibri" w:ascii="Calibri"/>
          <w:sz w:val="24"/>
        </w:rPr>
        <w:t xml:space="preserve">ENVIRONNEMENTALE</w:t>
      </w:r>
      <w:r>
        <w:rPr>
          <w:rFonts w:cs="Calibri" w:hAnsi="Calibri" w:eastAsia="Calibri" w:ascii="Calibri"/>
          <w:sz w:val="24"/>
        </w:rPr>
        <w:t xml:space="preserve"> </w:t>
      </w:r>
      <w:r>
        <w:rPr>
          <w:rFonts w:cs="Calibri" w:hAnsi="Calibri" w:eastAsia="Calibri" w:ascii="Calibri"/>
          <w:sz w:val="24"/>
        </w:rPr>
        <w:t xml:space="preserve">LOCALE</w:t>
      </w:r>
      <w:r>
        <w:rPr>
          <w:rFonts w:cs="Calibri" w:hAnsi="Calibri" w:eastAsia="Calibri" w:ascii="Calibri"/>
          <w:sz w:val="24"/>
        </w:rPr>
        <w:t xml:space="preserve"> </w:t>
      </w:r>
    </w:p>
    <w:p>
      <w:pPr>
        <w:spacing w:before="0" w:after="0" w:line="259" w:lineRule="auto"/>
        <w:ind w:left="319" w:firstLine="0"/>
        <w:jc w:val="left"/>
      </w:pPr>
      <w:r>
        <w:rPr/>
        <w:t xml:space="preserve"> </w:t>
      </w:r>
    </w:p>
    <w:p>
      <w:pPr>
        <w:spacing w:before="0" w:after="97" w:line="259" w:lineRule="auto"/>
        <w:ind w:left="319" w:firstLine="0"/>
        <w:jc w:val="left"/>
      </w:pPr>
      <w:r>
        <w:rPr>
          <w:rFonts w:cs="Times New Roman" w:hAnsi="Times New Roman" w:eastAsia="Times New Roman" w:ascii="Times New Roman"/>
          <w:b w:val="1"/>
          <w:sz w:val="12"/>
        </w:rPr>
        <w:t xml:space="preserve"> </w:t>
      </w:r>
    </w:p>
    <w:p>
      <w:pPr>
        <w:pBdr>
          <w:top w:val="single" w:color="000000" w:sz="4"/>
          <w:left w:val="single" w:color="000000" w:sz="4"/>
          <w:bottom w:val="single" w:color="000000" w:sz="8"/>
          <w:right w:val="single" w:color="000000" w:sz="8"/>
        </w:pBdr>
        <w:spacing w:before="0" w:after="0" w:line="259" w:lineRule="auto"/>
        <w:ind w:left="304" w:right="590" w:firstLine="0"/>
        <w:jc w:val="left"/>
      </w:pPr>
      <w:r>
        <w:rPr>
          <w:sz w:val="20"/>
        </w:rPr>
        <w:t xml:space="preserve"> </w:t>
      </w:r>
    </w:p>
    <w:p>
      <w:pPr>
        <w:pBdr>
          <w:top w:val="single" w:color="000000" w:sz="4"/>
          <w:left w:val="single" w:color="000000" w:sz="4"/>
          <w:bottom w:val="single" w:color="000000" w:sz="8"/>
          <w:right w:val="single" w:color="000000" w:sz="8"/>
        </w:pBdr>
        <w:spacing w:before="0" w:after="5" w:line="249" w:lineRule="auto"/>
        <w:ind w:left="314" w:right="590"/>
      </w:pPr>
      <w:r>
        <w:rPr>
          <w:sz w:val="20"/>
        </w:rPr>
        <w:t xml:space="preserve">Le Projet de Consolidation de</w:t>
      </w:r>
      <w:r>
        <w:rPr>
          <w:sz w:val="20"/>
        </w:rPr>
        <w:t xml:space="preserve"> </w:t>
      </w:r>
      <w:r>
        <w:rPr>
          <w:sz w:val="20"/>
        </w:rPr>
        <w:t xml:space="preserve">la Gouvernance Environnementale</w:t>
      </w:r>
      <w:r>
        <w:rPr>
          <w:sz w:val="20"/>
        </w:rPr>
        <w:t xml:space="preserve"> </w:t>
      </w:r>
      <w:r>
        <w:rPr>
          <w:sz w:val="20"/>
        </w:rPr>
        <w:t xml:space="preserve">Locale est conçu dans le cadre du Programme Pays</w:t>
      </w:r>
      <w:r>
        <w:rPr>
          <w:sz w:val="20"/>
        </w:rPr>
        <w:t xml:space="preserve"> </w:t>
      </w:r>
    </w:p>
    <w:p>
      <w:pPr>
        <w:pBdr>
          <w:top w:val="single" w:color="000000" w:sz="4"/>
          <w:left w:val="single" w:color="000000" w:sz="4"/>
          <w:bottom w:val="single" w:color="000000" w:sz="8"/>
          <w:right w:val="single" w:color="000000" w:sz="8"/>
        </w:pBdr>
        <w:spacing w:before="0" w:after="5" w:line="249" w:lineRule="auto"/>
        <w:ind w:left="314" w:right="590"/>
      </w:pPr>
      <w:r>
        <w:rPr>
          <w:sz w:val="20"/>
        </w:rPr>
        <w:t xml:space="preserve">(CPD), du Plan d‟Action du Programme Pays (CPAP)</w:t>
      </w:r>
      <w:r>
        <w:rPr>
          <w:sz w:val="20"/>
        </w:rPr>
        <w:t xml:space="preserve"> </w:t>
      </w:r>
      <w:r>
        <w:rPr>
          <w:sz w:val="20"/>
        </w:rPr>
        <w:t xml:space="preserve">et du Cadre des Nations Unies pour l‟Aide au Développement </w:t>
      </w:r>
    </w:p>
    <w:p>
      <w:pPr>
        <w:pBdr>
          <w:top w:val="single" w:color="000000" w:sz="4"/>
          <w:left w:val="single" w:color="000000" w:sz="4"/>
          <w:bottom w:val="single" w:color="000000" w:sz="8"/>
          <w:right w:val="single" w:color="000000" w:sz="8"/>
        </w:pBdr>
        <w:spacing w:before="0" w:after="5" w:line="249" w:lineRule="auto"/>
        <w:ind w:left="314" w:right="590"/>
      </w:pPr>
      <w:r>
        <w:rPr>
          <w:sz w:val="20"/>
        </w:rPr>
        <w:t xml:space="preserve">(</w:t>
      </w:r>
      <w:r>
        <w:rPr>
          <w:sz w:val="20"/>
        </w:rPr>
        <w:t xml:space="preserve">UNDAF</w:t>
      </w:r>
      <w:r>
        <w:rPr>
          <w:sz w:val="20"/>
        </w:rPr>
        <w:t xml:space="preserve">)</w:t>
      </w:r>
      <w:r>
        <w:rPr>
          <w:sz w:val="20"/>
        </w:rPr>
        <w:t xml:space="preserve">, </w:t>
      </w:r>
      <w:r>
        <w:rPr>
          <w:sz w:val="20"/>
        </w:rPr>
        <w:t xml:space="preserve">pour la période </w:t>
      </w:r>
      <w:r>
        <w:rPr>
          <w:sz w:val="20"/>
        </w:rPr>
        <w:t xml:space="preserve">2011</w:t>
      </w:r>
      <w:r>
        <w:rPr>
          <w:sz w:val="20"/>
        </w:rPr>
        <w:t xml:space="preserve">-</w:t>
      </w:r>
      <w:r>
        <w:rPr>
          <w:sz w:val="20"/>
        </w:rPr>
        <w:t xml:space="preserve">2015</w:t>
      </w:r>
      <w:r>
        <w:rPr>
          <w:sz w:val="20"/>
        </w:rPr>
        <w:t xml:space="preserve">.Ces cadres d‟intervention</w:t>
      </w:r>
      <w:r>
        <w:rPr>
          <w:sz w:val="20"/>
        </w:rPr>
        <w:t xml:space="preserve"> </w:t>
      </w:r>
      <w:r>
        <w:rPr>
          <w:sz w:val="20"/>
        </w:rPr>
        <w:t xml:space="preserve">viennent en appui à la mise en œuvre à la Stratégie de Croissance Accélérée et de Développement Durable (SCADD</w:t>
      </w:r>
      <w:r>
        <w:rPr>
          <w:sz w:val="20"/>
        </w:rPr>
        <w:t xml:space="preserve">)</w:t>
      </w:r>
      <w:r>
        <w:rPr>
          <w:sz w:val="20"/>
        </w:rPr>
        <w:t xml:space="preserve">,</w:t>
      </w:r>
      <w:r>
        <w:rPr>
          <w:sz w:val="20"/>
        </w:rPr>
        <w:t xml:space="preserve"> </w:t>
      </w:r>
      <w:r>
        <w:rPr>
          <w:sz w:val="20"/>
        </w:rPr>
        <w:t xml:space="preserve">principal instrument de la planification du développement économique et social du Gouvernement du Burkina Faso.</w:t>
      </w:r>
      <w:r>
        <w:rPr>
          <w:sz w:val="20"/>
        </w:rPr>
        <w:t xml:space="preserve"> </w:t>
      </w:r>
    </w:p>
    <w:p>
      <w:pPr>
        <w:pBdr>
          <w:top w:val="single" w:color="000000" w:sz="4"/>
          <w:left w:val="single" w:color="000000" w:sz="4"/>
          <w:bottom w:val="single" w:color="000000" w:sz="8"/>
          <w:right w:val="single" w:color="000000" w:sz="8"/>
        </w:pBdr>
        <w:spacing w:before="0" w:after="0" w:line="259" w:lineRule="auto"/>
        <w:ind w:left="304" w:right="590" w:firstLine="0"/>
        <w:jc w:val="left"/>
      </w:pPr>
      <w:r>
        <w:rPr>
          <w:sz w:val="20"/>
        </w:rPr>
        <w:t xml:space="preserve"> </w:t>
      </w:r>
    </w:p>
    <w:p>
      <w:pPr>
        <w:pBdr>
          <w:top w:val="single" w:color="000000" w:sz="4"/>
          <w:left w:val="single" w:color="000000" w:sz="4"/>
          <w:bottom w:val="single" w:color="000000" w:sz="8"/>
          <w:right w:val="single" w:color="000000" w:sz="8"/>
        </w:pBdr>
        <w:spacing w:before="0" w:after="5" w:line="249" w:lineRule="auto"/>
        <w:ind w:left="314" w:right="590"/>
      </w:pPr>
      <w:r>
        <w:rPr>
          <w:sz w:val="20"/>
        </w:rPr>
        <w:t xml:space="preserve">Les deux principaux effets suivants sont recherchés par ce projet</w:t>
      </w:r>
      <w:r>
        <w:rPr>
          <w:sz w:val="20"/>
        </w:rPr>
        <w:t xml:space="preserve"> </w:t>
      </w:r>
      <w:r>
        <w:rPr>
          <w:sz w:val="20"/>
        </w:rPr>
        <w:t xml:space="preserve">d‟ici 2015</w:t>
      </w:r>
      <w:r>
        <w:rPr>
          <w:sz w:val="20"/>
        </w:rPr>
        <w:t xml:space="preserve">:</w:t>
      </w:r>
      <w:r>
        <w:rPr>
          <w:sz w:val="20"/>
        </w:rPr>
        <w:t xml:space="preserve"> </w:t>
      </w:r>
      <w:r>
        <w:rPr>
          <w:sz w:val="20"/>
        </w:rPr>
        <w:t xml:space="preserve">i)</w:t>
      </w:r>
      <w:r>
        <w:rPr>
          <w:sz w:val="20"/>
        </w:rPr>
        <w:t xml:space="preserve"> </w:t>
      </w:r>
      <w:r>
        <w:rPr>
          <w:rFonts w:cs="Times New Roman" w:hAnsi="Times New Roman" w:eastAsia="Times New Roman" w:ascii="Times New Roman"/>
          <w:b w:val="1"/>
          <w:sz w:val="20"/>
        </w:rPr>
        <w:t xml:space="preserve">les structures nationales sont mieux outillées pour formuler, mettre en œuvre et suivre des politiques et programmes sectoriels en cohérence avec la SCADD</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et les OMD y compris les défis démographiques</w:t>
      </w:r>
      <w:r>
        <w:rPr>
          <w:sz w:val="24"/>
        </w:rPr>
        <w:t xml:space="preserve">, </w:t>
      </w:r>
      <w:r>
        <w:rPr>
          <w:sz w:val="20"/>
        </w:rPr>
        <w:t xml:space="preserve"> </w:t>
      </w:r>
      <w:r>
        <w:rPr>
          <w:sz w:val="20"/>
        </w:rPr>
        <w:t xml:space="preserve">ii) </w:t>
      </w:r>
      <w:r>
        <w:rPr>
          <w:rFonts w:cs="Times New Roman" w:hAnsi="Times New Roman" w:eastAsia="Times New Roman" w:ascii="Times New Roman"/>
          <w:b w:val="1"/>
          <w:sz w:val="20"/>
        </w:rPr>
        <w:t xml:space="preserve">les structures nationales et les communautés de base pratiquent une approche intégrée de développement durable et de gestion des ressources naturelles</w:t>
      </w:r>
      <w:r>
        <w:rPr>
          <w:sz w:val="20"/>
        </w:rPr>
        <w:t xml:space="preserve">.</w:t>
      </w:r>
      <w:r>
        <w:rPr>
          <w:sz w:val="20"/>
        </w:rPr>
        <w:t xml:space="preserve"> </w:t>
      </w:r>
      <w:r>
        <w:rPr>
          <w:sz w:val="20"/>
        </w:rPr>
        <w:t xml:space="preserve">Quatre</w:t>
      </w:r>
      <w:r>
        <w:rPr>
          <w:sz w:val="20"/>
        </w:rPr>
        <w:t xml:space="preserve">  </w:t>
      </w:r>
      <w:r>
        <w:rPr>
          <w:sz w:val="20"/>
        </w:rPr>
        <w:t xml:space="preserve">produits</w:t>
      </w:r>
      <w:r>
        <w:rPr>
          <w:sz w:val="20"/>
        </w:rPr>
        <w:t xml:space="preserve"> </w:t>
      </w:r>
      <w:r>
        <w:rPr>
          <w:sz w:val="20"/>
        </w:rPr>
        <w:t xml:space="preserve">du projet</w:t>
      </w:r>
      <w:r>
        <w:rPr>
          <w:sz w:val="20"/>
        </w:rPr>
        <w:t xml:space="preserve"> </w:t>
      </w:r>
      <w:r>
        <w:rPr>
          <w:sz w:val="20"/>
        </w:rPr>
        <w:t xml:space="preserve">contribueront à la réalisation des</w:t>
      </w:r>
      <w:r>
        <w:rPr>
          <w:sz w:val="20"/>
        </w:rPr>
        <w:t xml:space="preserve"> </w:t>
      </w:r>
      <w:r>
        <w:rPr>
          <w:sz w:val="20"/>
        </w:rPr>
        <w:t xml:space="preserve">deux effets</w:t>
      </w:r>
      <w:r>
        <w:rPr>
          <w:sz w:val="20"/>
        </w:rPr>
        <w:t xml:space="preserve"> </w:t>
      </w:r>
      <w:r>
        <w:rPr>
          <w:sz w:val="20"/>
        </w:rPr>
        <w:t xml:space="preserve">: a)</w:t>
      </w:r>
      <w:r>
        <w:rPr>
          <w:sz w:val="20"/>
        </w:rPr>
        <w:t xml:space="preserve"> </w:t>
      </w:r>
      <w:r>
        <w:rPr>
          <w:sz w:val="20"/>
        </w:rPr>
        <w:t xml:space="preserve">Les structures centrales sont outillées pour assurer la prise en compte des principes du Développement Durable</w:t>
      </w:r>
      <w:r>
        <w:rPr>
          <w:sz w:val="20"/>
        </w:rPr>
        <w:t xml:space="preserve"> </w:t>
      </w:r>
      <w:r>
        <w:rPr>
          <w:sz w:val="20"/>
        </w:rPr>
        <w:t xml:space="preserve">dans la mise en œuvre de la SCADD et des plans locaux de développement</w:t>
      </w:r>
      <w:r>
        <w:rPr>
          <w:sz w:val="20"/>
        </w:rPr>
        <w:t xml:space="preserve">; </w:t>
      </w:r>
      <w:r>
        <w:rPr>
          <w:sz w:val="20"/>
        </w:rPr>
        <w:t xml:space="preserve">b) Les informations pertinentes sur l‟état de l‟environnement sont disponibles et permettent d‟assurer le suivi de la mise en œuvre des politiques environnementales au niveau décentralisé</w:t>
      </w:r>
      <w:r>
        <w:rPr>
          <w:sz w:val="20"/>
        </w:rPr>
        <w:t xml:space="preserve">; </w:t>
      </w:r>
      <w:r>
        <w:rPr>
          <w:sz w:val="20"/>
        </w:rPr>
        <w:t xml:space="preserve">c) Les plans locaux de développement sont rendus</w:t>
      </w:r>
      <w:r>
        <w:rPr>
          <w:sz w:val="20"/>
        </w:rPr>
        <w:t xml:space="preserve"> </w:t>
      </w:r>
      <w:r>
        <w:rPr>
          <w:sz w:val="20"/>
        </w:rPr>
        <w:t xml:space="preserve">résilients aux changements climatiques et sont orientés vers une faible émission de Gaz à Effet de Serre (GES</w:t>
      </w:r>
      <w:r>
        <w:rPr>
          <w:sz w:val="20"/>
        </w:rPr>
        <w:t xml:space="preserve">); </w:t>
      </w:r>
      <w:r>
        <w:rPr>
          <w:sz w:val="20"/>
        </w:rPr>
        <w:t xml:space="preserve">d) Les Collectivités Territoriales</w:t>
      </w:r>
      <w:r>
        <w:rPr>
          <w:sz w:val="20"/>
        </w:rPr>
        <w:t xml:space="preserve"> </w:t>
      </w:r>
      <w:r>
        <w:rPr>
          <w:sz w:val="20"/>
        </w:rPr>
        <w:t xml:space="preserve">et les communautés ont accès aux sources de financement et aux technologies appropriés pour mettre en œuvre des plans locaux de développement  résilients aux changements climatiques et orientés vers une faible émission de GES</w:t>
      </w:r>
      <w:r>
        <w:rPr>
          <w:sz w:val="20"/>
        </w:rPr>
        <w:t xml:space="preserve">.</w:t>
      </w:r>
      <w:r>
        <w:rPr>
          <w:sz w:val="20"/>
        </w:rPr>
        <w:t xml:space="preserve"> </w:t>
      </w:r>
    </w:p>
    <w:p>
      <w:pPr>
        <w:pBdr>
          <w:top w:val="single" w:color="000000" w:sz="4"/>
          <w:left w:val="single" w:color="000000" w:sz="4"/>
          <w:bottom w:val="single" w:color="000000" w:sz="8"/>
          <w:right w:val="single" w:color="000000" w:sz="8"/>
        </w:pBdr>
        <w:spacing w:before="0" w:after="0" w:line="259" w:lineRule="auto"/>
        <w:ind w:left="304" w:right="590" w:firstLine="0"/>
        <w:jc w:val="left"/>
      </w:pPr>
      <w:r>
        <w:rPr>
          <w:sz w:val="20"/>
        </w:rPr>
        <w:t xml:space="preserve"> </w:t>
      </w:r>
    </w:p>
    <w:p>
      <w:pPr>
        <w:pBdr>
          <w:top w:val="single" w:color="000000" w:sz="4"/>
          <w:left w:val="single" w:color="000000" w:sz="4"/>
          <w:bottom w:val="single" w:color="000000" w:sz="8"/>
          <w:right w:val="single" w:color="000000" w:sz="8"/>
        </w:pBdr>
        <w:spacing w:before="0" w:after="5" w:line="249" w:lineRule="auto"/>
        <w:ind w:left="314" w:right="590"/>
      </w:pPr>
      <w:r>
        <w:rPr>
          <w:sz w:val="20"/>
        </w:rPr>
        <w:t xml:space="preserve">Le projet</w:t>
      </w:r>
      <w:r>
        <w:rPr>
          <w:sz w:val="20"/>
        </w:rPr>
        <w:t xml:space="preserve"> </w:t>
      </w:r>
      <w:r>
        <w:rPr>
          <w:sz w:val="20"/>
        </w:rPr>
        <w:t xml:space="preserve">est construit sur les acquis du portefeuille du</w:t>
      </w:r>
      <w:r>
        <w:rPr>
          <w:sz w:val="20"/>
        </w:rPr>
        <w:t xml:space="preserve"> </w:t>
      </w:r>
      <w:r>
        <w:rPr>
          <w:sz w:val="20"/>
        </w:rPr>
        <w:t xml:space="preserve">cycle</w:t>
      </w:r>
      <w:r>
        <w:rPr>
          <w:sz w:val="20"/>
        </w:rPr>
        <w:t xml:space="preserve"> </w:t>
      </w:r>
      <w:r>
        <w:rPr>
          <w:sz w:val="20"/>
        </w:rPr>
        <w:t xml:space="preserve">précédant</w:t>
      </w:r>
      <w:r>
        <w:rPr>
          <w:sz w:val="20"/>
        </w:rPr>
        <w:t xml:space="preserve"> </w:t>
      </w:r>
      <w:r>
        <w:rPr>
          <w:sz w:val="20"/>
        </w:rPr>
        <w:t xml:space="preserve">et</w:t>
      </w:r>
      <w:r>
        <w:rPr>
          <w:sz w:val="20"/>
        </w:rPr>
        <w:t xml:space="preserve"> </w:t>
      </w:r>
      <w:r>
        <w:rPr>
          <w:sz w:val="20"/>
        </w:rPr>
        <w:t xml:space="preserve">en réponse aux défis</w:t>
      </w:r>
      <w:r>
        <w:rPr>
          <w:sz w:val="20"/>
        </w:rPr>
        <w:t xml:space="preserve"> </w:t>
      </w:r>
      <w:r>
        <w:rPr>
          <w:sz w:val="20"/>
        </w:rPr>
        <w:t xml:space="preserve">et </w:t>
      </w:r>
      <w:r>
        <w:rPr>
          <w:sz w:val="20"/>
        </w:rPr>
        <w:t xml:space="preserve"> </w:t>
      </w:r>
      <w:r>
        <w:rPr>
          <w:sz w:val="20"/>
        </w:rPr>
        <w:t xml:space="preserve">besoins émergeants des nouvelles orientations stratégiques du Gouvernement</w:t>
      </w:r>
      <w:r>
        <w:rPr>
          <w:sz w:val="20"/>
        </w:rPr>
        <w:t xml:space="preserve">.</w:t>
      </w:r>
      <w:r>
        <w:rPr>
          <w:sz w:val="20"/>
        </w:rPr>
        <w:t xml:space="preserve"> </w:t>
      </w:r>
      <w:r>
        <w:rPr>
          <w:sz w:val="20"/>
        </w:rPr>
        <w:t xml:space="preserve">La stratégie de mise en œuvre du projet</w:t>
      </w:r>
      <w:r>
        <w:rPr>
          <w:sz w:val="20"/>
        </w:rPr>
        <w:t xml:space="preserve"> </w:t>
      </w:r>
      <w:r>
        <w:rPr>
          <w:sz w:val="20"/>
        </w:rPr>
        <w:t xml:space="preserve">combine</w:t>
      </w:r>
      <w:r>
        <w:rPr>
          <w:sz w:val="20"/>
        </w:rPr>
        <w:t xml:space="preserve"> </w:t>
      </w:r>
      <w:r>
        <w:rPr>
          <w:sz w:val="20"/>
        </w:rPr>
        <w:t xml:space="preserve">; a</w:t>
      </w:r>
      <w:r>
        <w:rPr>
          <w:sz w:val="20"/>
        </w:rPr>
        <w:t xml:space="preserve">) </w:t>
      </w:r>
      <w:r>
        <w:rPr>
          <w:sz w:val="20"/>
        </w:rPr>
        <w:t xml:space="preserve">l‟accompagnement d‟un processus multi</w:t>
      </w:r>
      <w:r>
        <w:rPr>
          <w:sz w:val="20"/>
        </w:rPr>
        <w:t xml:space="preserve">-</w:t>
      </w:r>
      <w:r>
        <w:rPr>
          <w:sz w:val="20"/>
        </w:rPr>
        <w:t xml:space="preserve">acteurs</w:t>
      </w:r>
      <w:r>
        <w:rPr>
          <w:sz w:val="20"/>
        </w:rPr>
        <w:t xml:space="preserve"> </w:t>
      </w:r>
      <w:r>
        <w:rPr>
          <w:sz w:val="20"/>
        </w:rPr>
        <w:t xml:space="preserve">de développement des capacités; b)</w:t>
      </w:r>
      <w:r>
        <w:rPr>
          <w:sz w:val="20"/>
        </w:rPr>
        <w:t xml:space="preserve"> </w:t>
      </w:r>
      <w:r>
        <w:rPr>
          <w:sz w:val="20"/>
        </w:rPr>
        <w:t xml:space="preserve">la construction d‟un</w:t>
      </w:r>
      <w:r>
        <w:rPr>
          <w:sz w:val="20"/>
        </w:rPr>
        <w:t xml:space="preserve"> </w:t>
      </w:r>
      <w:r>
        <w:rPr>
          <w:sz w:val="20"/>
        </w:rPr>
        <w:t xml:space="preserve">partenariat stratégique autour de l‟appui aux initiatives des collectivités et communautés</w:t>
      </w:r>
      <w:r>
        <w:rPr>
          <w:sz w:val="20"/>
        </w:rPr>
        <w:t xml:space="preserve"> ; </w:t>
      </w:r>
      <w:r>
        <w:rPr>
          <w:sz w:val="20"/>
        </w:rPr>
        <w:t xml:space="preserve">c</w:t>
      </w:r>
      <w:r>
        <w:rPr>
          <w:sz w:val="20"/>
        </w:rPr>
        <w:t xml:space="preserve">) </w:t>
      </w:r>
      <w:r>
        <w:rPr>
          <w:sz w:val="20"/>
        </w:rPr>
        <w:t xml:space="preserve">La prise en compte de l‟équité homme</w:t>
      </w:r>
      <w:r>
        <w:rPr>
          <w:sz w:val="20"/>
        </w:rPr>
        <w:t xml:space="preserve"/>
      </w:r>
      <w:r>
        <w:rPr>
          <w:sz w:val="20"/>
        </w:rPr>
        <w:t xml:space="preserve">femme et d</w:t>
      </w:r>
      <w:r>
        <w:rPr>
          <w:sz w:val="20"/>
        </w:rPr>
        <w:t xml:space="preserve">) </w:t>
      </w:r>
      <w:r>
        <w:rPr>
          <w:sz w:val="20"/>
        </w:rPr>
        <w:t xml:space="preserve">la valorisation des acquis des</w:t>
      </w:r>
      <w:r>
        <w:rPr>
          <w:sz w:val="20"/>
        </w:rPr>
        <w:t xml:space="preserve"> </w:t>
      </w:r>
      <w:r>
        <w:rPr>
          <w:sz w:val="20"/>
        </w:rPr>
        <w:t xml:space="preserve">projets structurant en cours</w:t>
      </w:r>
      <w:r>
        <w:rPr>
          <w:sz w:val="20"/>
        </w:rPr>
        <w:t xml:space="preserve">.</w:t>
      </w:r>
      <w:r>
        <w:rPr>
          <w:sz w:val="20"/>
        </w:rPr>
        <w:t xml:space="preserve"> </w:t>
      </w:r>
    </w:p>
    <w:p>
      <w:pPr>
        <w:pBdr>
          <w:top w:val="single" w:color="000000" w:sz="4"/>
          <w:left w:val="single" w:color="000000" w:sz="4"/>
          <w:bottom w:val="single" w:color="000000" w:sz="8"/>
          <w:right w:val="single" w:color="000000" w:sz="8"/>
        </w:pBdr>
        <w:spacing w:before="0" w:after="39" w:line="259" w:lineRule="auto"/>
        <w:ind w:left="304" w:right="590" w:firstLine="0"/>
        <w:jc w:val="left"/>
      </w:pPr>
      <w:r>
        <w:rPr>
          <w:sz w:val="20"/>
        </w:rPr>
        <w:t xml:space="preserve"> </w:t>
      </w:r>
    </w:p>
    <w:p>
      <w:pPr>
        <w:spacing w:before="0" w:after="0" w:line="259" w:lineRule="auto"/>
        <w:ind w:left="319" w:firstLine="0"/>
        <w:jc w:val="left"/>
      </w:pPr>
      <w:r>
        <w:rPr/>
        <w:t xml:space="preserve"> </w:t>
      </w:r>
    </w:p>
    <w:p>
      <w:pPr>
        <w:spacing w:before="0" w:after="0" w:line="259" w:lineRule="auto"/>
        <w:ind w:left="0" w:right="187" w:firstLine="0"/>
        <w:jc w:val="right"/>
      </w:pPr>
      <w:r>
        <w:rPr>
          <w:sz w:val="24"/>
        </w:rPr>
        <w:t xml:space="preserve">       </w:t>
      </w:r>
    </w:p>
    <w:p>
      <w:pPr>
        <w:spacing w:before="0" w:after="0" w:line="259" w:lineRule="auto"/>
        <w:ind w:left="0" w:right="566" w:firstLine="0"/>
        <w:jc w:val="right"/>
      </w:pPr>
      <w:r>
        <w:rPr>
          <w:rFonts w:cs="Times New Roman" w:hAnsi="Times New Roman" w:eastAsia="Times New Roman" w:ascii="Times New Roman"/>
          <w:b w:val="1"/>
          <w:sz w:val="16"/>
        </w:rPr>
        <w:t xml:space="preserve"> </w:t>
      </w:r>
    </w:p>
    <w:p>
      <w:pPr>
        <w:spacing w:before="0" w:after="0" w:line="259" w:lineRule="auto"/>
        <w:ind w:left="0" w:right="508" w:firstLine="0"/>
        <w:jc w:val="right"/>
      </w:pPr>
      <w:r>
        <w:drawing>
          <wp:inline distT="0" distB="0" distL="0" distR="0">
            <wp:extent cx="6181988" cy="8246178"/>
            <wp:effectExtent l="0" t="0" r="0" b="0"/>
            <wp:docPr id="20725" name="Picture 20725"/>
            <wp:cNvGraphicFramePr/>
            <a:graphic>
              <a:graphicData uri="http://schemas.openxmlformats.org/drawingml/2006/picture">
                <pic:pic xmlns:pic="http://schemas.openxmlformats.org/drawingml/2006/picture">
                  <pic:nvPicPr>
                    <pic:cNvPr id="20725" name="Picture 20725"/>
                    <pic:cNvPicPr/>
                  </pic:nvPicPr>
                  <pic:blipFill>
                    <a:blip r:embed="rId60"/>
                    <a:stretch>
                      <a:fillRect/>
                    </a:stretch>
                  </pic:blipFill>
                  <pic:spPr>
                    <a:xfrm>
                      <a:off x="0" y="0"/>
                      <a:ext cx="6181988" cy="8246178"/>
                    </a:xfrm>
                    <a:prstGeom prst="rect">
                      <a:avLst/>
                    </a:prstGeom>
                  </pic:spPr>
                </pic:pic>
              </a:graphicData>
            </a:graphic>
          </wp:inline>
        </w:drawing>
      </w:r>
      <w:r>
        <w:rPr>
          <w:rFonts w:cs="Times New Roman" w:hAnsi="Times New Roman" w:eastAsia="Times New Roman" w:ascii="Times New Roman"/>
          <w:b w:val="1"/>
          <w:sz w:val="28"/>
        </w:rPr>
        <w:t xml:space="preserve"> </w:t>
      </w:r>
    </w:p>
    <w:p>
      <w:pPr>
        <w:spacing w:before="0" w:after="0" w:line="259" w:lineRule="auto"/>
        <w:ind w:left="319" w:firstLine="0"/>
        <w:jc w:val="left"/>
      </w:pPr>
      <w:r>
        <w:rPr>
          <w:rFonts w:cs="Times New Roman" w:hAnsi="Times New Roman" w:eastAsia="Times New Roman" w:ascii="Times New Roman"/>
          <w:b w:val="1"/>
          <w:sz w:val="28"/>
        </w:rPr>
        <w:t xml:space="preserve"> 	 </w:t>
      </w:r>
    </w:p>
    <w:p>
      <w:pPr>
        <w:spacing w:before="0" w:after="0" w:line="259" w:lineRule="auto"/>
        <w:ind w:left="0" w:right="150" w:firstLine="0"/>
        <w:jc w:val="center"/>
      </w:pPr>
      <w:r>
        <w:rPr>
          <w:rFonts w:cs="Times New Roman" w:hAnsi="Times New Roman" w:eastAsia="Times New Roman" w:ascii="Times New Roman"/>
          <w:b w:val="1"/>
          <w:sz w:val="28"/>
        </w:rPr>
        <w:t xml:space="preserve">  </w:t>
      </w:r>
    </w:p>
    <w:p>
      <w:pPr>
        <w:pStyle w:val="heading2"/>
        <w:spacing w:before="0" w:after="233" w:line="248" w:lineRule="auto"/>
        <w:ind w:left="314"/>
      </w:pPr>
      <w:r>
        <w:rPr/>
        <w:t xml:space="preserve">Table des matières</w:t>
      </w:r>
      <w:r>
        <w:rPr>
          <w:color w:val="ff0000"/>
        </w:rPr>
        <w:t xml:space="preserve"> </w:t>
      </w:r>
    </w:p>
    <w:p>
      <w:pPr>
        <w:spacing w:before="0" w:after="0" w:line="259" w:lineRule="auto"/>
        <w:ind w:left="0" w:right="220" w:firstLine="0"/>
        <w:jc w:val="center"/>
      </w:pPr>
      <w:r>
        <w:rPr>
          <w:rFonts w:cs="Times New Roman" w:hAnsi="Times New Roman" w:eastAsia="Times New Roman" w:ascii="Times New Roman"/>
          <w:b w:val="1"/>
          <w:sz w:val="28"/>
        </w:rPr>
        <w:t xml:space="preserve"> </w:t>
      </w:r>
    </w:p>
    <w:p>
      <w:pPr>
        <w:spacing w:before="0" w:after="0" w:line="259" w:lineRule="auto"/>
        <w:ind w:left="319" w:firstLine="0"/>
        <w:jc w:val="left"/>
      </w:pPr>
      <w:r>
        <w:rPr>
          <w:sz w:val="24"/>
        </w:rPr>
        <w:t xml:space="preserve"> </w:t>
      </w:r>
    </w:p>
    <w:p>
      <w:pPr>
        <w:tabs>
          <w:tab w:val="center" w:pos="1537"/>
          <w:tab w:val="center" w:pos="7939"/>
        </w:tabs>
        <w:spacing w:before="0" w:after="0" w:line="259" w:lineRule="auto"/>
        <w:ind w:left="0" w:firstLine="0"/>
        <w:jc w:val="left"/>
      </w:pPr>
      <w:r>
        <w:rPr>
          <w:rFonts w:cs="Times New Roman" w:hAnsi="Times New Roman" w:eastAsia="Times New Roman" w:ascii="Times New Roman"/>
          <w:b w:val="1"/>
          <w:u w:val="single" w:color="000000"/>
        </w:rPr>
        <w:t xml:space="preserve">Chapitres</w:t>
      </w:r>
      <w:r>
        <w:rPr>
          <w:rFonts w:cs="Times New Roman" w:hAnsi="Times New Roman" w:eastAsia="Times New Roman" w:ascii="Times New Roman"/>
          <w:b w:val="1"/>
          <w:u w:val="single" w:color="000000"/>
        </w:rPr>
        <w:t xml:space="preserve"> 	</w:t>
      </w:r>
      <w:r>
        <w:rPr>
          <w:rFonts w:cs="Times New Roman" w:hAnsi="Times New Roman" w:eastAsia="Times New Roman" w:ascii="Times New Roman"/>
          <w:b w:val="1"/>
          <w:u w:val="single" w:color="000000"/>
        </w:rPr>
        <w:t xml:space="preserve">Titres</w:t>
      </w:r>
      <w:r>
        <w:rPr>
          <w:rFonts w:cs="Times New Roman" w:hAnsi="Times New Roman" w:eastAsia="Times New Roman" w:ascii="Times New Roman"/>
          <w:b w:val="1"/>
          <w:u w:val="single" w:color="000000"/>
        </w:rPr>
        <w:t xml:space="preserve"> 	</w:t>
      </w:r>
      <w:r>
        <w:rPr>
          <w:rFonts w:cs="Times New Roman" w:hAnsi="Times New Roman" w:eastAsia="Times New Roman" w:ascii="Times New Roman"/>
          <w:b w:val="1"/>
          <w:u w:val="single" w:color="000000"/>
        </w:rPr>
        <w:t xml:space="preserve">Pages</w:t>
      </w:r>
      <w:r>
        <w:rPr>
          <w:rFonts w:cs="Times New Roman" w:hAnsi="Times New Roman" w:eastAsia="Times New Roman" w:ascii="Times New Roman"/>
          <w:b w:val="1"/>
          <w:u w:val="single" w:color="000000"/>
        </w:rPr>
        <w:t xml:space="preserve"> </w:t>
      </w:r>
    </w:p>
    <w:p>
      <w:pPr>
        <w:spacing w:before="0" w:after="21" w:line="259" w:lineRule="auto"/>
        <w:ind w:left="0" w:firstLine="0"/>
        <w:jc w:val="left"/>
      </w:pPr>
      <w:r>
        <w:rPr/>
        <w:t xml:space="preserve"> 	 	 </w:t>
      </w:r>
    </w:p>
    <w:p>
      <w:pPr>
        <w:pStyle w:val="normal"/>
        <w:tabs>
          <w:tab w:val="center" w:pos="4213"/>
          <w:tab w:val="center" w:pos="7725"/>
        </w:tabs>
        <w:spacing w:before="0" w:after="34" w:line="247" w:lineRule="auto"/>
        <w:ind w:left="0" w:firstLine="0"/>
        <w:jc w:val="left"/>
      </w:pPr>
      <w:r>
        <w:rPr>
          <w:rFonts w:cs="Calibri" w:hAnsi="Calibri" w:eastAsia="Calibri" w:ascii="Calibri"/>
          <w:sz w:val="22"/>
        </w:rPr>
        <w:t xml:space="preserve">	</w:t>
      </w:r>
      <w:r>
        <w:rPr/>
        <w:t xml:space="preserve"> </w:t>
      </w:r>
      <w:r>
        <w:rPr/>
        <w:t xml:space="preserve">Page de garde/Résumé…….…….…………………………………….</w:t>
      </w:r>
      <w:r>
        <w:rPr/>
        <w:t xml:space="preserve"> 	</w:t>
      </w:r>
      <w:r>
        <w:rPr/>
        <w:t xml:space="preserve">1</w:t>
      </w:r>
      <w:r>
        <w:rPr/>
        <w:t xml:space="preserve"> </w:t>
      </w:r>
    </w:p>
    <w:p>
      <w:pPr>
        <w:pStyle w:val="normal"/>
        <w:tabs>
          <w:tab w:val="center" w:pos="4206"/>
          <w:tab w:val="center" w:pos="7725"/>
        </w:tabs>
        <w:spacing w:before="0" w:after="37" w:line="247" w:lineRule="auto"/>
        <w:ind w:left="0" w:firstLine="0"/>
        <w:jc w:val="left"/>
      </w:pPr>
      <w:r>
        <w:rPr>
          <w:rFonts w:cs="Calibri" w:hAnsi="Calibri" w:eastAsia="Calibri" w:ascii="Calibri"/>
          <w:sz w:val="22"/>
        </w:rPr>
        <w:t xml:space="preserve">	</w:t>
      </w:r>
      <w:r>
        <w:rPr/>
        <w:t xml:space="preserve"> </w:t>
      </w:r>
      <w:r>
        <w:rPr/>
        <w:t xml:space="preserve">Page de signature……………………………………………………...</w:t>
      </w:r>
      <w:r>
        <w:rPr/>
        <w:t xml:space="preserve"> 	</w:t>
      </w:r>
      <w:r>
        <w:rPr/>
        <w:t xml:space="preserve">2</w:t>
      </w:r>
      <w:r>
        <w:rPr/>
        <w:t xml:space="preserve"> </w:t>
      </w:r>
    </w:p>
    <w:p>
      <w:pPr>
        <w:pStyle w:val="normal"/>
        <w:tabs>
          <w:tab w:val="center" w:pos="4213"/>
          <w:tab w:val="center" w:pos="7725"/>
        </w:tabs>
        <w:spacing w:before="0" w:after="34" w:line="247" w:lineRule="auto"/>
        <w:ind w:left="0" w:firstLine="0"/>
        <w:jc w:val="left"/>
      </w:pPr>
      <w:r>
        <w:rPr>
          <w:rFonts w:cs="Calibri" w:hAnsi="Calibri" w:eastAsia="Calibri" w:ascii="Calibri"/>
          <w:sz w:val="22"/>
        </w:rPr>
        <w:t xml:space="preserve">	</w:t>
      </w:r>
      <w:r>
        <w:rPr/>
        <w:t xml:space="preserve"> </w:t>
      </w:r>
      <w:r>
        <w:rPr/>
        <w:t xml:space="preserve">Table des Matières...…………………………………………………..</w:t>
      </w:r>
      <w:r>
        <w:rPr/>
        <w:t xml:space="preserve"> 	</w:t>
      </w:r>
      <w:r>
        <w:rPr/>
        <w:t xml:space="preserve">3</w:t>
      </w:r>
      <w:r>
        <w:rPr/>
        <w:t xml:space="preserve"> </w:t>
      </w:r>
    </w:p>
    <w:p>
      <w:pPr>
        <w:pStyle w:val="normal"/>
        <w:tabs>
          <w:tab w:val="center" w:pos="4218"/>
          <w:tab w:val="center" w:pos="7725"/>
        </w:tabs>
        <w:spacing w:before="0" w:after="5" w:line="247" w:lineRule="auto"/>
        <w:ind w:left="0" w:firstLine="0"/>
        <w:jc w:val="left"/>
      </w:pPr>
      <w:r>
        <w:rPr>
          <w:rFonts w:cs="Calibri" w:hAnsi="Calibri" w:eastAsia="Calibri" w:ascii="Calibri"/>
          <w:sz w:val="22"/>
        </w:rPr>
        <w:t xml:space="preserve">	</w:t>
      </w:r>
      <w:r>
        <w:rPr/>
        <w:t xml:space="preserve"> </w:t>
      </w:r>
      <w:r>
        <w:rPr/>
        <w:t xml:space="preserve">Liste des acronymes……………………………………………...........</w:t>
      </w:r>
      <w:r>
        <w:rPr/>
        <w:t xml:space="preserve"> 	</w:t>
      </w:r>
      <w:r>
        <w:rPr/>
        <w:t xml:space="preserve">4</w:t>
      </w:r>
      <w:r>
        <w:rPr/>
        <w:t xml:space="preserve"> </w:t>
      </w:r>
    </w:p>
    <w:p>
      <w:pPr>
        <w:spacing w:before="0" w:after="21" w:line="259" w:lineRule="auto"/>
        <w:ind w:left="0" w:firstLine="0"/>
        <w:jc w:val="left"/>
      </w:pPr>
      <w:r>
        <w:rPr/>
        <w:t xml:space="preserve"> 	 	 </w:t>
      </w:r>
    </w:p>
    <w:p>
      <w:pPr>
        <w:pStyle w:val="normal"/>
        <w:tabs>
          <w:tab w:val="center" w:pos="4161"/>
          <w:tab w:val="center" w:pos="7725"/>
        </w:tabs>
        <w:spacing w:before="0" w:after="29" w:line="247" w:lineRule="auto"/>
        <w:ind w:left="0" w:firstLine="0"/>
        <w:jc w:val="left"/>
      </w:pPr>
      <w:r>
        <w:rPr>
          <w:rFonts w:cs="Times New Roman" w:hAnsi="Times New Roman" w:eastAsia="Times New Roman" w:ascii="Times New Roman"/>
          <w:b w:val="1"/>
        </w:rPr>
        <w:t xml:space="preserve">Section I</w:t>
      </w:r>
      <w:r>
        <w:rPr>
          <w:rFonts w:cs="Times New Roman" w:hAnsi="Times New Roman" w:eastAsia="Times New Roman" w:ascii="Times New Roman"/>
          <w:b w:val="1"/>
        </w:rPr>
        <w:t xml:space="preserve"> 	</w:t>
      </w:r>
      <w:r>
        <w:rPr/>
        <w:t xml:space="preserve">ANALYSE DE LA SITUATION…………………………………</w:t>
      </w:r>
      <w:r>
        <w:rPr/>
        <w:t xml:space="preserve"> 	</w:t>
      </w:r>
      <w:r>
        <w:rPr/>
        <w:t xml:space="preserve">6</w:t>
      </w:r>
      <w:r>
        <w:rPr/>
        <w:t xml:space="preserve"> </w:t>
      </w:r>
    </w:p>
    <w:p>
      <w:pPr>
        <w:pStyle w:val="normal"/>
        <w:tabs>
          <w:tab w:val="center" w:pos="4045"/>
          <w:tab w:val="center" w:pos="7725"/>
        </w:tabs>
        <w:spacing w:before="0" w:after="5" w:line="247" w:lineRule="auto"/>
        <w:ind w:left="0" w:firstLine="0"/>
        <w:jc w:val="left"/>
      </w:pPr>
      <w:r>
        <w:rPr>
          <w:rFonts w:cs="Calibri" w:hAnsi="Calibri" w:eastAsia="Calibri" w:ascii="Calibri"/>
          <w:sz w:val="22"/>
        </w:rPr>
        <w:t xml:space="preserve">	</w:t>
      </w:r>
      <w:r>
        <w:rPr/>
        <w:t xml:space="preserve">1.1.</w:t>
      </w:r>
      <w:r>
        <w:rPr/>
        <w:t xml:space="preserve"> </w:t>
      </w:r>
      <w:r>
        <w:rPr/>
        <w:t xml:space="preserve">Contexte national…………………………….…………………..........</w:t>
      </w:r>
      <w:r>
        <w:rPr/>
        <w:t xml:space="preserve"> 	</w:t>
      </w:r>
      <w:r>
        <w:rPr/>
        <w:t xml:space="preserve">6</w:t>
      </w:r>
      <w:r>
        <w:rPr/>
        <w:t xml:space="preserve"> </w:t>
      </w:r>
    </w:p>
    <w:p>
      <w:pPr>
        <w:pStyle w:val="normal"/>
        <w:tabs>
          <w:tab w:val="center" w:pos="4079"/>
          <w:tab w:val="center" w:pos="7725"/>
        </w:tabs>
        <w:spacing w:before="0" w:after="32" w:line="247" w:lineRule="auto"/>
        <w:ind w:left="0" w:firstLine="0"/>
        <w:jc w:val="left"/>
      </w:pPr>
      <w:r>
        <w:rPr>
          <w:rFonts w:cs="Calibri" w:hAnsi="Calibri" w:eastAsia="Calibri" w:ascii="Calibri"/>
          <w:sz w:val="22"/>
        </w:rPr>
        <w:t xml:space="preserve">	</w:t>
      </w:r>
      <w:r>
        <w:rPr/>
        <w:t xml:space="preserve">1.2.</w:t>
      </w:r>
      <w:r>
        <w:rPr/>
        <w:t xml:space="preserve"> </w:t>
      </w:r>
      <w:r>
        <w:rPr/>
        <w:t xml:space="preserve">Les principales initiatives</w:t>
      </w:r>
      <w:r>
        <w:rPr/>
        <w:t xml:space="preserve"> </w:t>
      </w:r>
      <w:r>
        <w:rPr/>
        <w:t xml:space="preserve">nationales soutenues par les PTF</w:t>
      </w:r>
      <w:r>
        <w:rPr/>
        <w:t xml:space="preserve">………….. 	</w:t>
      </w:r>
      <w:r>
        <w:rPr/>
        <w:t xml:space="preserve">9</w:t>
      </w:r>
      <w:r>
        <w:rPr/>
        <w:t xml:space="preserve"> </w:t>
      </w:r>
    </w:p>
    <w:p>
      <w:pPr>
        <w:spacing w:before="0" w:after="20" w:line="243" w:lineRule="auto"/>
        <w:ind w:left="10" w:right="2774"/>
        <w:jc w:val="right"/>
      </w:pPr>
      <w:r>
        <w:rPr/>
        <w:t xml:space="preserve">1.3.</w:t>
      </w:r>
      <w:r>
        <w:rPr/>
        <w:t xml:space="preserve"> </w:t>
      </w:r>
      <w:r>
        <w:rPr/>
        <w:t xml:space="preserve">Le cadre d‟intervention du PNUD……………………………………</w:t>
      </w:r>
      <w:r>
        <w:rPr/>
        <w:t xml:space="preserve"> 	</w:t>
      </w:r>
      <w:r>
        <w:rPr/>
        <w:t xml:space="preserve">12</w:t>
      </w:r>
      <w:r>
        <w:rPr/>
        <w:t xml:space="preserve">  	 	 </w:t>
      </w:r>
    </w:p>
    <w:p>
      <w:pPr>
        <w:pStyle w:val="normal"/>
        <w:tabs>
          <w:tab w:val="center" w:pos="4338"/>
          <w:tab w:val="center" w:pos="7780"/>
        </w:tabs>
        <w:spacing w:before="0" w:after="27" w:line="247" w:lineRule="auto"/>
        <w:ind w:left="0" w:firstLine="0"/>
        <w:jc w:val="left"/>
      </w:pPr>
      <w:r>
        <w:rPr>
          <w:rFonts w:cs="Times New Roman" w:hAnsi="Times New Roman" w:eastAsia="Times New Roman" w:ascii="Times New Roman"/>
          <w:b w:val="1"/>
        </w:rPr>
        <w:t xml:space="preserve">Section II</w:t>
      </w:r>
      <w:r>
        <w:rPr>
          <w:rFonts w:cs="Times New Roman" w:hAnsi="Times New Roman" w:eastAsia="Times New Roman" w:ascii="Times New Roman"/>
          <w:b w:val="1"/>
        </w:rPr>
        <w:t xml:space="preserve"> 	</w:t>
      </w:r>
      <w:r>
        <w:rPr/>
        <w:t xml:space="preserve">OBJECTIFS,</w:t>
      </w:r>
      <w:r>
        <w:rPr/>
        <w:t xml:space="preserve"> </w:t>
      </w:r>
      <w:r>
        <w:rPr/>
        <w:t xml:space="preserve">STRATEGIE, RESULTATS ATTENDUS…</w:t>
      </w:r>
      <w:r>
        <w:rPr/>
        <w:t xml:space="preserve">…………. 	</w:t>
      </w:r>
      <w:r>
        <w:rPr/>
        <w:t xml:space="preserve">14</w:t>
      </w:r>
      <w:r>
        <w:rPr/>
        <w:t xml:space="preserve"> </w:t>
      </w:r>
    </w:p>
    <w:p>
      <w:pPr>
        <w:pStyle w:val="normal"/>
        <w:tabs>
          <w:tab w:val="center" w:pos="4070"/>
          <w:tab w:val="center" w:pos="7780"/>
        </w:tabs>
        <w:spacing w:before="0" w:after="34" w:line="247" w:lineRule="auto"/>
        <w:ind w:left="0" w:firstLine="0"/>
        <w:jc w:val="left"/>
      </w:pPr>
      <w:r>
        <w:rPr>
          <w:rFonts w:cs="Calibri" w:hAnsi="Calibri" w:eastAsia="Calibri" w:ascii="Calibri"/>
          <w:sz w:val="22"/>
        </w:rPr>
        <w:t xml:space="preserve">	</w:t>
      </w:r>
      <w:r>
        <w:rPr/>
        <w:t xml:space="preserve">2.1.</w:t>
      </w:r>
      <w:r>
        <w:rPr/>
        <w:t xml:space="preserve"> </w:t>
      </w:r>
      <w:r>
        <w:rPr/>
        <w:t xml:space="preserve">Orientations stratégiques du projet …</w:t>
      </w:r>
      <w:r>
        <w:rPr/>
        <w:t xml:space="preserve"> ………………………………... 	</w:t>
      </w:r>
      <w:r>
        <w:rPr/>
        <w:t xml:space="preserve">14</w:t>
      </w:r>
      <w:r>
        <w:rPr/>
        <w:t xml:space="preserve"> </w:t>
      </w:r>
    </w:p>
    <w:p>
      <w:pPr>
        <w:pStyle w:val="normal"/>
        <w:tabs>
          <w:tab w:val="center" w:pos="4061"/>
          <w:tab w:val="center" w:pos="7780"/>
        </w:tabs>
        <w:spacing w:before="0" w:after="31" w:line="247" w:lineRule="auto"/>
        <w:ind w:left="0" w:firstLine="0"/>
        <w:jc w:val="left"/>
      </w:pPr>
      <w:r>
        <w:rPr>
          <w:rFonts w:cs="Calibri" w:hAnsi="Calibri" w:eastAsia="Calibri" w:ascii="Calibri"/>
          <w:sz w:val="22"/>
        </w:rPr>
        <w:t xml:space="preserve">	</w:t>
      </w:r>
      <w:r>
        <w:rPr/>
        <w:t xml:space="preserve">2.2.</w:t>
      </w:r>
      <w:r>
        <w:rPr/>
        <w:t xml:space="preserve"> </w:t>
      </w:r>
      <w:r>
        <w:rPr/>
        <w:t xml:space="preserve">Effets et produits attendus…..…………………………………………</w:t>
      </w:r>
      <w:r>
        <w:rPr/>
        <w:t xml:space="preserve"> 	</w:t>
      </w:r>
      <w:r>
        <w:rPr/>
        <w:t xml:space="preserve">16</w:t>
      </w:r>
      <w:r>
        <w:rPr/>
        <w:t xml:space="preserve"> </w:t>
      </w:r>
    </w:p>
    <w:p>
      <w:pPr>
        <w:pStyle w:val="normal"/>
        <w:tabs>
          <w:tab w:val="center" w:pos="4032"/>
          <w:tab w:val="center" w:pos="7780"/>
        </w:tabs>
        <w:spacing w:before="0" w:after="5" w:line="247" w:lineRule="auto"/>
        <w:ind w:left="0" w:firstLine="0"/>
        <w:jc w:val="left"/>
      </w:pPr>
      <w:r>
        <w:rPr>
          <w:rFonts w:cs="Calibri" w:hAnsi="Calibri" w:eastAsia="Calibri" w:ascii="Calibri"/>
          <w:sz w:val="22"/>
        </w:rPr>
        <w:t xml:space="preserve">	</w:t>
      </w:r>
      <w:r>
        <w:rPr/>
        <w:t xml:space="preserve">2.3.</w:t>
      </w:r>
      <w:r>
        <w:rPr/>
        <w:t xml:space="preserve"> </w:t>
      </w:r>
      <w:r>
        <w:rPr/>
        <w:t xml:space="preserve">Zone d‟intervention</w:t>
      </w:r>
      <w:r>
        <w:rPr/>
        <w:t xml:space="preserve"> ………………………………………………….. 	</w:t>
      </w:r>
      <w:r>
        <w:rPr/>
        <w:t xml:space="preserve">18</w:t>
      </w:r>
      <w:r>
        <w:rPr/>
        <w:t xml:space="preserve"> </w:t>
      </w:r>
    </w:p>
    <w:p>
      <w:pPr>
        <w:pStyle w:val="normal"/>
        <w:tabs>
          <w:tab w:val="center" w:pos="4045"/>
          <w:tab w:val="center" w:pos="7780"/>
        </w:tabs>
        <w:spacing w:before="0" w:after="5" w:line="247" w:lineRule="auto"/>
        <w:ind w:left="0" w:firstLine="0"/>
        <w:jc w:val="left"/>
      </w:pPr>
      <w:r>
        <w:rPr>
          <w:rFonts w:cs="Calibri" w:hAnsi="Calibri" w:eastAsia="Calibri" w:ascii="Calibri"/>
          <w:sz w:val="22"/>
        </w:rPr>
        <w:t xml:space="preserve">	</w:t>
      </w:r>
      <w:r>
        <w:rPr/>
        <w:t xml:space="preserve">2.4.</w:t>
      </w:r>
      <w:r>
        <w:rPr/>
        <w:t xml:space="preserve"> </w:t>
      </w:r>
      <w:r>
        <w:rPr/>
        <w:t xml:space="preserve">Description des actions</w:t>
      </w:r>
      <w:r>
        <w:rPr/>
        <w:t xml:space="preserve"> ……………………….…..………………….. 	</w:t>
      </w:r>
      <w:r>
        <w:rPr/>
        <w:t xml:space="preserve">18</w:t>
      </w:r>
      <w:r>
        <w:rPr/>
        <w:t xml:space="preserve"> </w:t>
      </w:r>
    </w:p>
    <w:p>
      <w:pPr>
        <w:spacing w:before="0" w:after="20" w:line="243" w:lineRule="auto"/>
        <w:ind w:left="10" w:right="2774"/>
        <w:jc w:val="right"/>
      </w:pPr>
      <w:r>
        <w:rPr/>
        <w:t xml:space="preserve">2.5.</w:t>
      </w:r>
      <w:r>
        <w:rPr/>
        <w:t xml:space="preserve"> </w:t>
      </w:r>
      <w:r>
        <w:rPr/>
        <w:t xml:space="preserve">Stratégie de Partenariat</w:t>
      </w:r>
      <w:r>
        <w:rPr/>
        <w:t xml:space="preserve">……………………………………………….. 	</w:t>
      </w:r>
      <w:r>
        <w:rPr/>
        <w:t xml:space="preserve">24</w:t>
      </w:r>
      <w:r>
        <w:rPr/>
        <w:t xml:space="preserve">  	 	 </w:t>
      </w:r>
    </w:p>
    <w:p>
      <w:pPr>
        <w:pStyle w:val="normal"/>
        <w:spacing w:before="0" w:after="26" w:line="247" w:lineRule="auto"/>
        <w:ind w:left="708" w:right="2402" w:hanging="708"/>
      </w:pPr>
      <w:r>
        <w:rPr>
          <w:rFonts w:cs="Times New Roman" w:hAnsi="Times New Roman" w:eastAsia="Times New Roman" w:ascii="Times New Roman"/>
          <w:b w:val="1"/>
        </w:rPr>
        <w:t xml:space="preserve">Section III</w:t>
      </w:r>
      <w:r>
        <w:rPr>
          <w:rFonts w:cs="Times New Roman" w:hAnsi="Times New Roman" w:eastAsia="Times New Roman" w:ascii="Times New Roman"/>
          <w:b w:val="1"/>
        </w:rPr>
        <w:t xml:space="preserve"> </w:t>
      </w:r>
      <w:r>
        <w:rPr/>
        <w:t xml:space="preserve">ARRANGEMENTS DE GESTION……………………………..........</w:t>
      </w:r>
      <w:r>
        <w:rPr/>
        <w:t xml:space="preserve"> </w:t>
      </w:r>
      <w:r>
        <w:rPr/>
        <w:t xml:space="preserve">25</w:t>
      </w:r>
      <w:r>
        <w:rPr/>
        <w:t xml:space="preserve"> </w:t>
      </w:r>
      <w:r>
        <w:rPr/>
        <w:t xml:space="preserve">3.1.</w:t>
      </w:r>
      <w:r>
        <w:rPr/>
        <w:t xml:space="preserve"> </w:t>
      </w:r>
      <w:r>
        <w:rPr/>
        <w:t xml:space="preserve">Modalités de mise en œuvre</w:t>
      </w:r>
      <w:r>
        <w:rPr/>
        <w:t xml:space="preserve">………………………………………….  </w:t>
      </w:r>
      <w:r>
        <w:rPr/>
        <w:t xml:space="preserve">25</w:t>
      </w:r>
      <w:r>
        <w:rPr/>
        <w:t xml:space="preserve"> </w:t>
      </w:r>
    </w:p>
    <w:p>
      <w:pPr>
        <w:pStyle w:val="normal"/>
        <w:tabs>
          <w:tab w:val="center" w:pos="4022"/>
          <w:tab w:val="center" w:pos="7780"/>
        </w:tabs>
        <w:spacing w:before="0" w:after="5" w:line="247" w:lineRule="auto"/>
        <w:ind w:left="0" w:firstLine="0"/>
        <w:jc w:val="left"/>
      </w:pPr>
      <w:r>
        <w:rPr>
          <w:rFonts w:cs="Calibri" w:hAnsi="Calibri" w:eastAsia="Calibri" w:ascii="Calibri"/>
          <w:sz w:val="22"/>
        </w:rPr>
        <w:t xml:space="preserve">	</w:t>
      </w:r>
      <w:r>
        <w:rPr/>
        <w:t xml:space="preserve">3.2.</w:t>
      </w:r>
      <w:r>
        <w:rPr/>
        <w:t xml:space="preserve"> </w:t>
      </w:r>
      <w:r>
        <w:rPr/>
        <w:t xml:space="preserve">Dispositif de pilotage</w:t>
      </w:r>
      <w:r>
        <w:rPr/>
        <w:t xml:space="preserve">… ………………….………………………….. 	</w:t>
      </w:r>
      <w:r>
        <w:rPr/>
        <w:t xml:space="preserve">26</w:t>
      </w:r>
      <w:r>
        <w:rPr/>
        <w:t xml:space="preserve"> </w:t>
      </w:r>
    </w:p>
    <w:p>
      <w:pPr>
        <w:pStyle w:val="normal"/>
        <w:tabs>
          <w:tab w:val="center" w:pos="3999"/>
          <w:tab w:val="center" w:pos="7780"/>
        </w:tabs>
        <w:spacing w:before="0" w:after="27" w:line="247" w:lineRule="auto"/>
        <w:ind w:left="0" w:firstLine="0"/>
        <w:jc w:val="left"/>
      </w:pPr>
      <w:r>
        <w:rPr>
          <w:rFonts w:cs="Calibri" w:hAnsi="Calibri" w:eastAsia="Calibri" w:ascii="Calibri"/>
          <w:sz w:val="22"/>
        </w:rPr>
        <w:t xml:space="preserve">	</w:t>
      </w:r>
      <w:r>
        <w:rPr/>
        <w:t xml:space="preserve">3.3.</w:t>
      </w:r>
      <w:r>
        <w:rPr/>
        <w:t xml:space="preserve"> </w:t>
      </w:r>
      <w:r>
        <w:rPr/>
        <w:t xml:space="preserve">Moyens matériels de mise en œuvre</w:t>
      </w:r>
      <w:r>
        <w:rPr/>
        <w:t xml:space="preserve">………………………………… 	</w:t>
      </w:r>
      <w:r>
        <w:rPr/>
        <w:t xml:space="preserve">26</w:t>
      </w:r>
      <w:r>
        <w:rPr/>
        <w:t xml:space="preserve"> </w:t>
      </w:r>
    </w:p>
    <w:p>
      <w:pPr>
        <w:pStyle w:val="normal"/>
        <w:tabs>
          <w:tab w:val="center" w:pos="4054"/>
          <w:tab w:val="center" w:pos="7780"/>
        </w:tabs>
        <w:spacing w:before="0" w:after="34" w:line="247" w:lineRule="auto"/>
        <w:ind w:left="0" w:firstLine="0"/>
        <w:jc w:val="left"/>
      </w:pPr>
      <w:r>
        <w:rPr>
          <w:rFonts w:cs="Calibri" w:hAnsi="Calibri" w:eastAsia="Calibri" w:ascii="Calibri"/>
          <w:sz w:val="22"/>
        </w:rPr>
        <w:t xml:space="preserve">	</w:t>
      </w:r>
      <w:r>
        <w:rPr/>
        <w:t xml:space="preserve">3.4.</w:t>
      </w:r>
      <w:r>
        <w:rPr/>
        <w:t xml:space="preserve"> </w:t>
      </w:r>
      <w:r>
        <w:rPr/>
        <w:t xml:space="preserve">Suivi et Evaluation…………………………………………………….</w:t>
      </w:r>
      <w:r>
        <w:rPr/>
        <w:t xml:space="preserve"> 	</w:t>
      </w:r>
      <w:r>
        <w:rPr/>
        <w:t xml:space="preserve">28</w:t>
      </w:r>
      <w:r>
        <w:rPr/>
        <w:t xml:space="preserve"> </w:t>
      </w:r>
    </w:p>
    <w:p>
      <w:pPr>
        <w:pStyle w:val="normal"/>
        <w:tabs>
          <w:tab w:val="center" w:pos="4044"/>
          <w:tab w:val="center" w:pos="7780"/>
        </w:tabs>
        <w:spacing w:before="0" w:after="28" w:line="247" w:lineRule="auto"/>
        <w:ind w:left="0" w:firstLine="0"/>
        <w:jc w:val="left"/>
      </w:pPr>
      <w:r>
        <w:rPr>
          <w:rFonts w:cs="Calibri" w:hAnsi="Calibri" w:eastAsia="Calibri" w:ascii="Calibri"/>
          <w:sz w:val="22"/>
        </w:rPr>
        <w:t xml:space="preserve">	</w:t>
      </w:r>
      <w:r>
        <w:rPr/>
        <w:t xml:space="preserve">3.5.</w:t>
      </w:r>
      <w:r>
        <w:rPr/>
        <w:t xml:space="preserve"> </w:t>
      </w:r>
      <w:r>
        <w:rPr/>
        <w:t xml:space="preserve">Cadre légal…………………………………………………………….</w:t>
      </w:r>
      <w:r>
        <w:rPr/>
        <w:t xml:space="preserve"> 	</w:t>
      </w:r>
      <w:r>
        <w:rPr/>
        <w:t xml:space="preserve">30</w:t>
      </w:r>
      <w:r>
        <w:rPr/>
        <w:t xml:space="preserve"> </w:t>
      </w:r>
    </w:p>
    <w:p>
      <w:pPr>
        <w:spacing w:before="0" w:after="20" w:line="243" w:lineRule="auto"/>
        <w:ind w:left="10" w:right="2774"/>
        <w:jc w:val="right"/>
      </w:pPr>
      <w:r>
        <w:rPr/>
        <w:t xml:space="preserve">3.6.</w:t>
      </w:r>
      <w:r>
        <w:rPr/>
        <w:t xml:space="preserve"> </w:t>
      </w:r>
      <w:r>
        <w:rPr/>
        <w:t xml:space="preserve">Journal</w:t>
      </w:r>
      <w:r>
        <w:rPr/>
        <w:t xml:space="preserve"> </w:t>
      </w:r>
      <w:r>
        <w:rPr/>
        <w:t xml:space="preserve">des risques…….………………………………………………</w:t>
      </w:r>
      <w:r>
        <w:rPr/>
        <w:t xml:space="preserve"> 	</w:t>
      </w:r>
      <w:r>
        <w:rPr/>
        <w:t xml:space="preserve">31</w:t>
      </w:r>
      <w:r>
        <w:rPr/>
        <w:t xml:space="preserve">  	 	 </w:t>
      </w:r>
    </w:p>
    <w:p>
      <w:pPr>
        <w:pStyle w:val="normal"/>
        <w:tabs>
          <w:tab w:val="center" w:pos="4327"/>
          <w:tab w:val="center" w:pos="7780"/>
        </w:tabs>
        <w:spacing w:before="0" w:after="34" w:line="247" w:lineRule="auto"/>
        <w:ind w:left="0" w:firstLine="0"/>
        <w:jc w:val="left"/>
      </w:pPr>
      <w:r>
        <w:rPr>
          <w:rFonts w:cs="Times New Roman" w:hAnsi="Times New Roman" w:eastAsia="Times New Roman" w:ascii="Times New Roman"/>
          <w:b w:val="1"/>
        </w:rPr>
        <w:t xml:space="preserve">Section IV</w:t>
      </w:r>
      <w:r>
        <w:rPr>
          <w:rFonts w:cs="Times New Roman" w:hAnsi="Times New Roman" w:eastAsia="Times New Roman" w:ascii="Times New Roman"/>
          <w:b w:val="1"/>
        </w:rPr>
        <w:t xml:space="preserve"> 	</w:t>
      </w:r>
      <w:r>
        <w:rPr/>
        <w:t xml:space="preserve">BUDGET ET PLANS DE TRAVAIL………………………………...</w:t>
      </w:r>
      <w:r>
        <w:rPr/>
        <w:t xml:space="preserve"> 	</w:t>
      </w:r>
      <w:r>
        <w:rPr/>
        <w:t xml:space="preserve">33</w:t>
      </w:r>
      <w:r>
        <w:rPr/>
        <w:t xml:space="preserve"> </w:t>
      </w:r>
    </w:p>
    <w:p>
      <w:pPr>
        <w:pStyle w:val="normal"/>
        <w:tabs>
          <w:tab w:val="center" w:pos="4038"/>
          <w:tab w:val="center" w:pos="7780"/>
        </w:tabs>
        <w:spacing w:before="0" w:after="34" w:line="247" w:lineRule="auto"/>
        <w:ind w:left="0" w:firstLine="0"/>
        <w:jc w:val="left"/>
      </w:pPr>
      <w:r>
        <w:rPr>
          <w:rFonts w:cs="Calibri" w:hAnsi="Calibri" w:eastAsia="Calibri" w:ascii="Calibri"/>
          <w:sz w:val="22"/>
        </w:rPr>
        <w:t xml:space="preserve">	</w:t>
      </w:r>
      <w:r>
        <w:rPr/>
        <w:t xml:space="preserve">4.1.</w:t>
      </w:r>
      <w:r>
        <w:rPr/>
        <w:t xml:space="preserve"> </w:t>
      </w:r>
      <w:r>
        <w:rPr/>
        <w:t xml:space="preserve">Cadre de résultat et d‟allocation des ressources…..…………………..</w:t>
      </w:r>
      <w:r>
        <w:rPr/>
        <w:t xml:space="preserve"> 	</w:t>
      </w:r>
      <w:r>
        <w:rPr/>
        <w:t xml:space="preserve">33</w:t>
      </w:r>
      <w:r>
        <w:rPr/>
        <w:t xml:space="preserve"> </w:t>
      </w:r>
    </w:p>
    <w:p>
      <w:pPr>
        <w:pStyle w:val="normal"/>
        <w:tabs>
          <w:tab w:val="center" w:pos="4075"/>
          <w:tab w:val="center" w:pos="7780"/>
        </w:tabs>
        <w:spacing w:before="0" w:after="5" w:line="247" w:lineRule="auto"/>
        <w:ind w:left="0" w:firstLine="0"/>
        <w:jc w:val="left"/>
      </w:pPr>
      <w:r>
        <w:rPr>
          <w:rFonts w:cs="Calibri" w:hAnsi="Calibri" w:eastAsia="Calibri" w:ascii="Calibri"/>
          <w:sz w:val="22"/>
        </w:rPr>
        <w:t xml:space="preserve">	</w:t>
      </w:r>
      <w:r>
        <w:rPr/>
        <w:t xml:space="preserve">4.2.</w:t>
      </w:r>
      <w:r>
        <w:rPr/>
        <w:t xml:space="preserve"> </w:t>
      </w:r>
      <w:r>
        <w:rPr/>
        <w:t xml:space="preserve">Budget total détaillé….………………………………………………...</w:t>
      </w:r>
      <w:r>
        <w:rPr/>
        <w:t xml:space="preserve"> 	</w:t>
      </w:r>
      <w:r>
        <w:rPr/>
        <w:t xml:space="preserve">38</w:t>
      </w:r>
      <w:r>
        <w:rPr/>
        <w:t xml:space="preserve"> </w:t>
      </w:r>
    </w:p>
    <w:p>
      <w:pPr>
        <w:pStyle w:val="normal"/>
        <w:tabs>
          <w:tab w:val="center" w:pos="1981"/>
          <w:tab w:val="center" w:pos="7780"/>
        </w:tabs>
        <w:spacing w:before="0" w:after="34" w:line="247" w:lineRule="auto"/>
        <w:ind w:left="0" w:firstLine="0"/>
        <w:jc w:val="left"/>
      </w:pPr>
      <w:r>
        <w:rPr>
          <w:rFonts w:cs="Calibri" w:hAnsi="Calibri" w:eastAsia="Calibri" w:ascii="Calibri"/>
          <w:sz w:val="22"/>
        </w:rPr>
        <w:t xml:space="preserve">	</w:t>
      </w:r>
      <w:r>
        <w:rPr/>
        <w:t xml:space="preserve">4.3.</w:t>
      </w:r>
      <w:r>
        <w:rPr/>
        <w:t xml:space="preserve"> </w:t>
      </w:r>
      <w:r>
        <w:rPr/>
        <w:t xml:space="preserve">Plans de travail annuel</w:t>
      </w:r>
      <w:r>
        <w:rPr/>
        <w:t xml:space="preserve"> 	</w:t>
      </w:r>
      <w:r>
        <w:rPr/>
        <w:t xml:space="preserve">41</w:t>
      </w:r>
      <w:r>
        <w:rPr/>
        <w:t xml:space="preserve"> </w:t>
      </w:r>
    </w:p>
    <w:p>
      <w:pPr>
        <w:spacing w:before="0" w:after="20" w:line="243" w:lineRule="auto"/>
        <w:ind w:left="10" w:right="2774"/>
        <w:jc w:val="right"/>
      </w:pPr>
      <w:r>
        <w:rPr/>
        <w:t xml:space="preserve">4.4.</w:t>
      </w:r>
      <w:r>
        <w:rPr/>
        <w:t xml:space="preserve"> </w:t>
      </w:r>
      <w:r>
        <w:rPr/>
        <w:t xml:space="preserve">Plan de décaissement annuel……………………………………..........</w:t>
      </w:r>
      <w:r>
        <w:rPr/>
        <w:t xml:space="preserve"> 	</w:t>
      </w:r>
      <w:r>
        <w:rPr/>
        <w:t xml:space="preserve">46</w:t>
      </w:r>
      <w:r>
        <w:rPr/>
        <w:t xml:space="preserve">  	 	 </w:t>
      </w:r>
    </w:p>
    <w:p>
      <w:pPr>
        <w:pStyle w:val="normal"/>
        <w:tabs>
          <w:tab w:val="center" w:pos="1769"/>
          <w:tab w:val="center" w:pos="7669"/>
        </w:tabs>
        <w:spacing w:before="0" w:after="5" w:line="247" w:lineRule="auto"/>
        <w:ind w:left="0" w:firstLine="0"/>
        <w:jc w:val="left"/>
      </w:pPr>
      <w:r>
        <w:rPr/>
        <w:t xml:space="preserve"> 	</w:t>
      </w:r>
      <w:r>
        <w:rPr/>
        <w:t xml:space="preserve">ANNEXES</w:t>
      </w:r>
      <w:r>
        <w:rPr/>
        <w:t xml:space="preserve"> 	 </w:t>
      </w:r>
    </w:p>
    <w:p>
      <w:pPr>
        <w:spacing w:before="0" w:after="0" w:line="259" w:lineRule="auto"/>
        <w:ind w:left="0" w:firstLine="0"/>
        <w:jc w:val="left"/>
      </w:pPr>
      <w:r>
        <w:rPr/>
        <w:t xml:space="preserve"> </w:t>
      </w:r>
    </w:p>
    <w:p>
      <w:pPr>
        <w:spacing w:before="0" w:after="20" w:line="259" w:lineRule="auto"/>
        <w:ind w:left="0" w:firstLine="0"/>
        <w:jc w:val="left"/>
      </w:pPr>
      <w:r>
        <w:rPr/>
        <w:t xml:space="preserve"> 	 	 </w:t>
      </w:r>
    </w:p>
    <w:p>
      <w:pPr>
        <w:pStyle w:val="normal"/>
        <w:tabs>
          <w:tab w:val="center" w:pos="7780"/>
        </w:tabs>
        <w:spacing w:before="0" w:after="28" w:line="247" w:lineRule="auto"/>
        <w:ind w:left="0" w:firstLine="0"/>
        <w:jc w:val="left"/>
      </w:pPr>
      <w:r>
        <w:rPr/>
        <w:t xml:space="preserve">Annexe 1</w:t>
      </w:r>
      <w:r>
        <w:rPr/>
        <w:t xml:space="preserve"> </w:t>
      </w:r>
      <w:r>
        <w:rPr/>
        <w:t xml:space="preserve">:</w:t>
      </w:r>
      <w:r>
        <w:rPr/>
        <w:t xml:space="preserve"> </w:t>
      </w:r>
      <w:r>
        <w:rPr/>
        <w:t xml:space="preserve">Diagramme des résultats du projet…………………………………….</w:t>
      </w:r>
      <w:r>
        <w:rPr/>
        <w:t xml:space="preserve"> 	</w:t>
      </w:r>
      <w:r>
        <w:rPr/>
        <w:t xml:space="preserve">48</w:t>
      </w:r>
      <w:r>
        <w:rPr/>
        <w:t xml:space="preserve"> </w:t>
      </w:r>
    </w:p>
    <w:p>
      <w:pPr>
        <w:pStyle w:val="normal"/>
        <w:spacing w:before="0" w:after="5" w:line="247" w:lineRule="auto"/>
        <w:ind w:left="84" w:right="598"/>
      </w:pPr>
      <w:r>
        <w:rPr/>
        <w:t xml:space="preserve">Annexe 2</w:t>
      </w:r>
      <w:r>
        <w:rPr/>
        <w:t xml:space="preserve"> </w:t>
      </w:r>
      <w:r>
        <w:rPr/>
        <w:t xml:space="preserve">:</w:t>
      </w:r>
      <w:r>
        <w:rPr/>
        <w:t xml:space="preserve"> </w:t>
      </w:r>
      <w:r>
        <w:rPr/>
        <w:t xml:space="preserve">Carte des zones d‟interventions du projet………………</w:t>
      </w:r>
      <w:r>
        <w:rPr/>
        <w:t xml:space="preserve">…………..…. </w:t>
      </w:r>
      <w:r>
        <w:rPr/>
        <w:t xml:space="preserve">49</w:t>
      </w:r>
      <w:r>
        <w:rPr/>
        <w:t xml:space="preserve"> </w:t>
      </w:r>
    </w:p>
    <w:p>
      <w:pPr>
        <w:pStyle w:val="normal"/>
        <w:tabs>
          <w:tab w:val="center" w:pos="7780"/>
        </w:tabs>
        <w:spacing w:before="0" w:after="5" w:line="247" w:lineRule="auto"/>
        <w:ind w:left="0" w:firstLine="0"/>
        <w:jc w:val="left"/>
      </w:pPr>
      <w:r>
        <w:rPr/>
        <w:t xml:space="preserve">Annexe 3</w:t>
      </w:r>
      <w:r>
        <w:rPr/>
        <w:t xml:space="preserve"> </w:t>
      </w:r>
      <w:r>
        <w:rPr/>
        <w:t xml:space="preserve">:</w:t>
      </w:r>
      <w:r>
        <w:rPr/>
        <w:t xml:space="preserve"> </w:t>
      </w:r>
      <w:r>
        <w:rPr/>
        <w:t xml:space="preserve">Budget de l‟unité de coordination……………………………………..</w:t>
      </w:r>
      <w:r>
        <w:rPr/>
        <w:t xml:space="preserve"> 	</w:t>
      </w:r>
      <w:r>
        <w:rPr/>
        <w:t xml:space="preserve">50</w:t>
      </w:r>
      <w:r>
        <w:rPr/>
        <w:t xml:space="preserve"> </w:t>
      </w:r>
    </w:p>
    <w:p>
      <w:pPr>
        <w:pStyle w:val="normal"/>
        <w:tabs>
          <w:tab w:val="center" w:pos="7780"/>
        </w:tabs>
        <w:spacing w:before="0" w:after="5" w:line="247" w:lineRule="auto"/>
        <w:ind w:left="0" w:firstLine="0"/>
        <w:jc w:val="left"/>
      </w:pPr>
      <w:r>
        <w:rPr/>
        <w:t xml:space="preserve">Annexe </w:t>
      </w:r>
      <w:r>
        <w:rPr/>
        <w:t xml:space="preserve">4</w:t>
      </w:r>
      <w:r>
        <w:rPr/>
        <w:t xml:space="preserve"> </w:t>
      </w:r>
      <w:r>
        <w:rPr/>
        <w:t xml:space="preserve">:</w:t>
      </w:r>
      <w:r>
        <w:rPr/>
        <w:t xml:space="preserve"> </w:t>
      </w:r>
      <w:r>
        <w:rPr/>
        <w:t xml:space="preserve">Plan annuel 2011 de suivi et évaluation du sous</w:t>
      </w:r>
      <w:r>
        <w:rPr/>
        <w:t xml:space="preserve">-</w:t>
      </w:r>
      <w:r>
        <w:rPr/>
        <w:t xml:space="preserve">programme…………</w:t>
      </w:r>
      <w:r>
        <w:rPr/>
        <w:t xml:space="preserve"> 	</w:t>
      </w:r>
      <w:r>
        <w:rPr/>
        <w:t xml:space="preserve">51</w:t>
      </w:r>
      <w:r>
        <w:rPr/>
        <w:t xml:space="preserve"> </w:t>
      </w:r>
    </w:p>
    <w:p>
      <w:pPr>
        <w:pStyle w:val="normal"/>
        <w:tabs>
          <w:tab w:val="center" w:pos="7780"/>
        </w:tabs>
        <w:spacing w:before="0" w:after="27" w:line="247" w:lineRule="auto"/>
        <w:ind w:left="0" w:firstLine="0"/>
        <w:jc w:val="left"/>
      </w:pPr>
      <w:r>
        <w:rPr/>
        <w:t xml:space="preserve">Annexe 5</w:t>
      </w:r>
      <w:r>
        <w:rPr/>
        <w:t xml:space="preserve"> </w:t>
      </w:r>
      <w:r>
        <w:rPr/>
        <w:t xml:space="preserve">:</w:t>
      </w:r>
      <w:r>
        <w:rPr/>
        <w:t xml:space="preserve"> </w:t>
      </w:r>
      <w:r>
        <w:rPr/>
        <w:t xml:space="preserve">Plan de communication………………………………………………..</w:t>
      </w:r>
      <w:r>
        <w:rPr/>
        <w:t xml:space="preserve"> 	</w:t>
      </w:r>
      <w:r>
        <w:rPr/>
        <w:t xml:space="preserve">52</w:t>
      </w:r>
      <w:r>
        <w:rPr/>
        <w:t xml:space="preserve"> </w:t>
      </w:r>
    </w:p>
    <w:p>
      <w:pPr>
        <w:pStyle w:val="normal"/>
        <w:tabs>
          <w:tab w:val="center" w:pos="7780"/>
        </w:tabs>
        <w:spacing w:before="0" w:after="5" w:line="247" w:lineRule="auto"/>
        <w:ind w:left="0" w:firstLine="0"/>
        <w:jc w:val="left"/>
      </w:pPr>
      <w:r>
        <w:rPr/>
        <w:t xml:space="preserve">Annexe 6</w:t>
      </w:r>
      <w:r>
        <w:rPr/>
        <w:t xml:space="preserve"> </w:t>
      </w:r>
      <w:r>
        <w:rPr/>
        <w:t xml:space="preserve">: </w:t>
      </w:r>
      <w:r>
        <w:rPr/>
        <w:t xml:space="preserve"> </w:t>
      </w:r>
      <w:r>
        <w:rPr/>
        <w:t xml:space="preserve">TDR du personnel de l‟unité de coordination</w:t>
      </w:r>
      <w:r>
        <w:rPr/>
        <w:t xml:space="preserve"> 	</w:t>
      </w:r>
      <w:r>
        <w:rPr/>
        <w:t xml:space="preserve">53</w:t>
      </w:r>
      <w:r>
        <w:rPr/>
        <w:t xml:space="preserve"> </w:t>
      </w:r>
    </w:p>
    <w:p>
      <w:pPr>
        <w:spacing w:before="0" w:after="0" w:line="259" w:lineRule="auto"/>
        <w:ind w:left="319" w:firstLine="0"/>
        <w:jc w:val="left"/>
      </w:pPr>
      <w:r>
        <w:rPr>
          <w:sz w:val="24"/>
        </w:rPr>
        <w:t xml:space="preserve"> </w:t>
      </w:r>
    </w:p>
    <w:p>
      <w:pPr>
        <w:spacing w:before="0" w:after="0" w:line="259" w:lineRule="auto"/>
        <w:ind w:left="319" w:firstLine="0"/>
        <w:jc w:val="left"/>
      </w:pPr>
      <w:r>
        <w:rPr>
          <w:sz w:val="24"/>
        </w:rPr>
        <w:t xml:space="preserve"> </w:t>
      </w:r>
    </w:p>
    <w:p>
      <w:pPr>
        <w:spacing w:before="0" w:after="19" w:line="259" w:lineRule="auto"/>
        <w:ind w:left="319" w:firstLine="0"/>
        <w:jc w:val="left"/>
      </w:pPr>
      <w:r>
        <w:rPr>
          <w:sz w:val="24"/>
        </w:rPr>
        <w:t xml:space="preserve"> </w:t>
      </w:r>
    </w:p>
    <w:p>
      <w:pPr>
        <w:spacing w:before="0" w:after="0" w:line="237" w:lineRule="auto"/>
        <w:ind w:left="319" w:right="5414" w:firstLine="0"/>
        <w:jc w:val="left"/>
      </w:pPr>
      <w:r>
        <w:rPr>
          <w:rFonts w:cs="Times New Roman" w:hAnsi="Times New Roman" w:eastAsia="Times New Roman" w:ascii="Times New Roman"/>
          <w:b w:val="1"/>
          <w:sz w:val="28"/>
        </w:rPr>
        <w:t xml:space="preserve">  	 </w:t>
      </w:r>
    </w:p>
    <w:p>
      <w:pPr>
        <w:pStyle w:val="heading2"/>
        <w:spacing w:before="0" w:after="0" w:line="259" w:lineRule="auto"/>
        <w:ind w:left="0" w:right="289" w:firstLine="0"/>
        <w:jc w:val="center"/>
      </w:pPr>
      <w:r>
        <w:rPr/>
        <w:t xml:space="preserve">Liste des acronymes</w:t>
      </w:r>
      <w:r>
        <w:rPr>
          <w:color w:val="ff0000"/>
        </w:rPr>
        <w:t xml:space="preserve"> </w:t>
      </w:r>
    </w:p>
    <w:tbl>
      <w:tblPr>
        <w:tblStyle w:val="TableGrid"/>
        <w:tblW w:w="9576" w:type="dxa"/>
        <w:tblInd w:w="319" w:type="dxa"/>
        <w:tblCellMar>
          <w:top w:w="0" w:type="dxa"/>
          <w:left w:w="0" w:type="dxa"/>
          <w:bottom w:w="0" w:type="dxa"/>
          <w:right w:w="0" w:type="dxa"/>
        </w:tblCellMar>
      </w:tblPr>
      <w:tblGrid>
        <w:gridCol w:w="1527"/>
        <w:gridCol w:w="8049"/>
      </w:tblGrid>
      <w:tr>
        <w:trPr>
          <w:trHeight w:val="273" w:hRule="atLeast"/>
        </w:trPr>
        <w:tc>
          <w:tcPr>
            <w:tcW w:w="1527" w:type="dxa"/>
            <w:tcBorders>
              <w:top w:val="nil"/>
              <w:left w:val="nil"/>
              <w:bottom w:val="nil"/>
              <w:right w:val="nil"/>
            </w:tcBorders>
            <w:vAlign w:val="top"/>
          </w:tcPr>
          <w:p>
            <w:pPr>
              <w:spacing w:before="0" w:after="0" w:line="259" w:lineRule="auto"/>
              <w:ind w:left="0" w:firstLine="0"/>
              <w:jc w:val="left"/>
            </w:pPr>
            <w:r>
              <w:rPr>
                <w:sz w:val="24"/>
              </w:rPr>
              <w:t xml:space="preserve"> </w:t>
            </w:r>
          </w:p>
        </w:tc>
        <w:tc>
          <w:tcPr>
            <w:tcW w:w="8049" w:type="dxa"/>
            <w:tcBorders>
              <w:top w:val="nil"/>
              <w:left w:val="nil"/>
              <w:bottom w:val="nil"/>
              <w:right w:val="nil"/>
            </w:tcBorders>
            <w:vAlign w:val="bottom"/>
          </w:tcPr>
          <w:p>
            <w:pPr>
              <w:bidi w:val="0"/>
              <w:spacing w:before="0" w:after="160" w:line="259" w:lineRule="auto"/>
              <w:ind w:left="0" w:right="0" w:firstLine="0"/>
              <w:jc w:val="left"/>
            </w:pPr>
          </w:p>
        </w:tc>
      </w:tr>
      <w:tr>
        <w:trPr>
          <w:trHeight w:val="257" w:hRule="atLeast"/>
        </w:trPr>
        <w:tc>
          <w:tcPr>
            <w:tcW w:w="1527" w:type="dxa"/>
            <w:tcBorders>
              <w:top w:val="nil"/>
              <w:left w:val="nil"/>
              <w:bottom w:val="nil"/>
              <w:right w:val="nil"/>
            </w:tcBorders>
            <w:vAlign w:val="top"/>
          </w:tcPr>
          <w:p>
            <w:pPr>
              <w:spacing w:before="0" w:after="0" w:line="259" w:lineRule="auto"/>
              <w:ind w:left="122" w:firstLine="0"/>
              <w:jc w:val="left"/>
            </w:pPr>
            <w:r>
              <w:rPr>
                <w:rFonts w:cs="Times New Roman" w:hAnsi="Times New Roman" w:eastAsia="Times New Roman" w:ascii="Times New Roman"/>
                <w:b w:val="1"/>
              </w:rPr>
              <w:t xml:space="preserve">Acronymes</w:t>
            </w:r>
            <w:r>
              <w:rPr>
                <w:rFonts w:cs="Times New Roman" w:hAnsi="Times New Roman" w:eastAsia="Times New Roman" w:ascii="Times New Roman"/>
                <w:b w:val="1"/>
              </w:rPr>
              <w:t xml:space="preserve"> </w:t>
            </w:r>
          </w:p>
        </w:tc>
        <w:tc>
          <w:tcPr>
            <w:tcW w:w="8049" w:type="dxa"/>
            <w:tcBorders>
              <w:top w:val="nil"/>
              <w:left w:val="nil"/>
              <w:bottom w:val="nil"/>
              <w:right w:val="nil"/>
            </w:tcBorders>
            <w:vAlign w:val="top"/>
          </w:tcPr>
          <w:p>
            <w:pPr>
              <w:spacing w:before="0" w:after="0" w:line="259" w:lineRule="auto"/>
              <w:ind w:left="0" w:right="44" w:firstLine="0"/>
              <w:jc w:val="center"/>
            </w:pPr>
            <w:r>
              <w:rPr>
                <w:rFonts w:cs="Times New Roman" w:hAnsi="Times New Roman" w:eastAsia="Times New Roman" w:ascii="Times New Roman"/>
                <w:b w:val="1"/>
              </w:rPr>
              <w:t xml:space="preserve">Significations</w:t>
            </w:r>
            <w:r>
              <w:rPr>
                <w:rFonts w:cs="Times New Roman" w:hAnsi="Times New Roman" w:eastAsia="Times New Roman" w:ascii="Times New Roman"/>
                <w:b w:val="1"/>
              </w:rPr>
              <w:t xml:space="preserve"> </w:t>
            </w:r>
          </w:p>
        </w:tc>
      </w:tr>
      <w:tr>
        <w:trPr>
          <w:trHeight w:val="251" w:hRule="atLeast"/>
        </w:trPr>
        <w:tc>
          <w:tcPr>
            <w:tcW w:w="1527" w:type="dxa"/>
            <w:tcBorders>
              <w:top w:val="nil"/>
              <w:left w:val="nil"/>
              <w:bottom w:val="nil"/>
              <w:right w:val="nil"/>
            </w:tcBorders>
            <w:vAlign w:val="top"/>
          </w:tcPr>
          <w:p>
            <w:pPr>
              <w:spacing w:before="0" w:after="0" w:line="259" w:lineRule="auto"/>
              <w:ind w:left="0" w:right="160" w:firstLine="0"/>
              <w:jc w:val="center"/>
            </w:pPr>
            <w:r>
              <w:rPr>
                <w:rFonts w:cs="Times New Roman" w:hAnsi="Times New Roman" w:eastAsia="Times New Roman" w:ascii="Times New Roman"/>
                <w:b w:val="1"/>
              </w:rPr>
              <w:t xml:space="preserve"> </w:t>
            </w:r>
          </w:p>
        </w:tc>
        <w:tc>
          <w:tcPr>
            <w:tcW w:w="8049" w:type="dxa"/>
            <w:tcBorders>
              <w:top w:val="nil"/>
              <w:left w:val="nil"/>
              <w:bottom w:val="nil"/>
              <w:right w:val="nil"/>
            </w:tcBorders>
            <w:vAlign w:val="top"/>
          </w:tcPr>
          <w:p>
            <w:pPr>
              <w:spacing w:before="0" w:after="0" w:line="259" w:lineRule="auto"/>
              <w:ind w:left="10" w:firstLine="0"/>
              <w:jc w:val="center"/>
            </w:pPr>
            <w:r>
              <w:rPr>
                <w:rFonts w:cs="Times New Roman" w:hAnsi="Times New Roman" w:eastAsia="Times New Roman" w:ascii="Times New Roman"/>
                <w:b w:val="1"/>
              </w:rPr>
              <w:t xml:space="preserve"> </w:t>
            </w:r>
          </w:p>
        </w:tc>
      </w:tr>
      <w:tr>
        <w:trPr>
          <w:trHeight w:val="250"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ADP</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Assemblée des Députés du Peuple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AGRHYMET</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Centre Régional </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AN</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Assemblée Nationale</w:t>
            </w:r>
            <w:r>
              <w:rPr/>
              <w:t xml:space="preserve"> </w:t>
            </w:r>
          </w:p>
        </w:tc>
      </w:tr>
      <w:tr>
        <w:trPr>
          <w:trHeight w:val="506"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ANCR</w:t>
            </w:r>
            <w:r>
              <w:rPr/>
              <w:t xml:space="preserve"> </w:t>
            </w:r>
          </w:p>
          <w:p>
            <w:pPr>
              <w:spacing w:before="0" w:after="0" w:line="259" w:lineRule="auto"/>
              <w:ind w:left="0" w:firstLine="0"/>
              <w:jc w:val="left"/>
            </w:pP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Auto</w:t>
            </w:r>
            <w:r>
              <w:rPr/>
              <w:t xml:space="preserve">-</w:t>
            </w:r>
            <w:r>
              <w:rPr/>
              <w:t xml:space="preserve">évaluation</w:t>
            </w:r>
            <w:r>
              <w:rPr/>
              <w:t xml:space="preserve"> </w:t>
            </w:r>
            <w:r>
              <w:rPr/>
              <w:t xml:space="preserve">Nationale des Capacités à Renforcer pour la mise en œuvre des </w:t>
            </w:r>
            <w:r>
              <w:rPr/>
              <w:t xml:space="preserve"> </w:t>
            </w:r>
            <w:r>
              <w:rPr/>
              <w:t xml:space="preserve">principales conventions des Nations Unies</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ASDI</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Agence Suédoise</w:t>
            </w:r>
            <w:r>
              <w:rPr/>
              <w:t xml:space="preserve"> </w:t>
            </w:r>
            <w:r>
              <w:rPr/>
              <w:t xml:space="preserve">pour le Développement International</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BAD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Banque Africaine de Développement</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BUNED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Bureau National des évaluations</w:t>
            </w:r>
            <w:r>
              <w:rPr/>
              <w:t xml:space="preserve"> </w:t>
            </w:r>
            <w:r>
              <w:rPr/>
              <w:t xml:space="preserve">environnementales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CC</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Changement Climatique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CEDEAO</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Communauté Economique des Etats de l‟Afrique de l‟Ouest</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CONASUR</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Conseil National de Secours d‟Urgence et de Réhabilitation</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CONEDD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Conseil National pour l‟Environnement et le Développement Durable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CPAP</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Plan d‟Action du Programme de Pays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CPD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Country Programme Document Ŕ</w:t>
            </w:r>
            <w:r>
              <w:rPr/>
              <w:t xml:space="preserve"> </w:t>
            </w:r>
            <w:r>
              <w:rPr/>
              <w:t xml:space="preserve">Document de Programme Pays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CPP</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Programme de Partenariat National pour la Gestion Durable des Terre</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DANIDA</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color w:val="323232"/>
              </w:rPr>
              <w:t xml:space="preserve">Danish Development Assistance </w:t>
            </w:r>
            <w:r>
              <w:rPr>
                <w:color w:val="323232"/>
              </w:rPr>
              <w:t xml:space="preserve">- </w:t>
            </w:r>
            <w:r>
              <w:rPr>
                <w:color w:val="323232"/>
              </w:rPr>
              <w:t xml:space="preserve">Coopération Danoise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DEP</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color w:val="323232"/>
              </w:rPr>
              <w:t xml:space="preserve">Direction des Etudes et de la Planification</w:t>
            </w:r>
            <w:r>
              <w:rPr>
                <w:color w:val="323232"/>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DGCN</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color w:val="323232"/>
              </w:rPr>
              <w:t xml:space="preserve">Direction Générale de la Conservation de la Nature</w:t>
            </w:r>
            <w:r>
              <w:rPr>
                <w:color w:val="323232"/>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EPP</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Effet Produit Pays</w:t>
            </w:r>
            <w:r>
              <w:rPr>
                <w:color w:val="323232"/>
              </w:rPr>
              <w:t xml:space="preserve"> </w:t>
            </w:r>
          </w:p>
        </w:tc>
      </w:tr>
      <w:tr>
        <w:trPr>
          <w:trHeight w:val="239"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FAO</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Organisation des Nations Unies pour l‟Alimentation et l‟Agriculture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FEM</w:t>
            </w:r>
            <w:r>
              <w:rPr/>
              <w:t xml:space="preserve">-</w:t>
            </w:r>
            <w:r>
              <w:rPr/>
              <w:t xml:space="preserve">4</w:t>
            </w:r>
            <w:r>
              <w:rPr/>
              <w:t xml:space="preserve"> </w:t>
            </w:r>
          </w:p>
        </w:tc>
        <w:tc>
          <w:tcPr>
            <w:tcW w:w="8049" w:type="dxa"/>
            <w:tcBorders>
              <w:top w:val="nil"/>
              <w:left w:val="nil"/>
              <w:bottom w:val="nil"/>
              <w:right w:val="nil"/>
            </w:tcBorders>
            <w:vAlign w:val="top"/>
          </w:tcPr>
          <w:p>
            <w:pPr>
              <w:spacing w:before="0" w:after="0" w:line="259" w:lineRule="auto"/>
              <w:ind w:left="0" w:firstLine="0"/>
            </w:pPr>
            <w:r>
              <w:rPr/>
              <w:t xml:space="preserve">4</w:t>
            </w:r>
            <w:r>
              <w:rPr>
                <w:vertAlign w:val="superscript"/>
              </w:rPr>
              <w:t xml:space="preserve">ème</w:t>
            </w:r>
            <w:r>
              <w:rPr/>
              <w:t xml:space="preserve"> </w:t>
            </w:r>
            <w:r>
              <w:rPr/>
              <w:t xml:space="preserve">cycle de financement du Fonds pour l‟Environnement Mondial Juillet 2006</w:t>
            </w:r>
            <w:r>
              <w:rPr/>
              <w:t xml:space="preserve">- </w:t>
            </w:r>
            <w:r>
              <w:rPr/>
              <w:t xml:space="preserve">juin 2010</w:t>
            </w:r>
            <w:r>
              <w:rPr/>
              <w:t xml:space="preserve"> </w:t>
            </w:r>
          </w:p>
        </w:tc>
      </w:tr>
      <w:tr>
        <w:trPr>
          <w:trHeight w:val="267"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FEM</w:t>
            </w:r>
            <w:r>
              <w:rPr/>
              <w:t xml:space="preserve">-</w:t>
            </w:r>
            <w:r>
              <w:rPr/>
              <w:t xml:space="preserve">5</w:t>
            </w:r>
            <w:r>
              <w:rPr/>
              <w:t xml:space="preserve"> </w:t>
            </w:r>
          </w:p>
        </w:tc>
        <w:tc>
          <w:tcPr>
            <w:tcW w:w="8049" w:type="dxa"/>
            <w:tcBorders>
              <w:top w:val="nil"/>
              <w:left w:val="nil"/>
              <w:bottom w:val="nil"/>
              <w:right w:val="nil"/>
            </w:tcBorders>
            <w:vAlign w:val="top"/>
          </w:tcPr>
          <w:p>
            <w:pPr>
              <w:spacing w:before="0" w:after="0" w:line="259" w:lineRule="auto"/>
              <w:ind w:left="0" w:firstLine="0"/>
            </w:pPr>
            <w:r>
              <w:rPr/>
              <w:t xml:space="preserve">5</w:t>
            </w:r>
            <w:r>
              <w:rPr>
                <w:vertAlign w:val="superscript"/>
              </w:rPr>
              <w:t xml:space="preserve">ème</w:t>
            </w:r>
            <w:r>
              <w:rPr/>
              <w:t xml:space="preserve"> </w:t>
            </w:r>
            <w:r>
              <w:rPr/>
              <w:t xml:space="preserve">cycle de financement du Fonds pour l‟Environnement Mondial Juillet 2010</w:t>
            </w:r>
            <w:r>
              <w:rPr/>
              <w:t xml:space="preserve">- </w:t>
            </w:r>
            <w:r>
              <w:rPr/>
              <w:t xml:space="preserve">juin 2014</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FEM/ONG</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Programme de micro</w:t>
            </w:r>
            <w:r>
              <w:rPr/>
              <w:t xml:space="preserve">-</w:t>
            </w:r>
            <w:r>
              <w:rPr/>
              <w:t xml:space="preserve">subventions du Fonds Mondial pour l‟Environnement</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GDE</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Gestion Durable de l‟Environnement</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GDT</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Gestion Durable des Terres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GoBF</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Gouvernement du Burkina Faso</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IPE</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Initiative Pauvreté</w:t>
            </w:r>
            <w:r>
              <w:rPr/>
              <w:t xml:space="preserve">-</w:t>
            </w:r>
            <w:r>
              <w:rPr/>
              <w:t xml:space="preserve">Environnement</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MECV</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Ministère de l‟Environnement et du Cadre de Vie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MEDD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Ministère de l‟Environnement et du Développement Durable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OMD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Objectif du Millénaire pour le Développement</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OSC</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Organisation de la Société Civile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PAN/LCD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Plan d‟Action National de Lutte contre la Désertification</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PANA</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Plan d‟Action National d‟Adaptation au Changement Climatique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PAPE</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Projet d‟Appui aux Parcs de l‟Entente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PNE</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Politique Nationale en matière d‟Environnement</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PNSR</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Programme National du Secteur Rural</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PNUD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Programme des Nations Unies pour le Développement</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PNUE</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Programme des Nations Unies pour l‟Environnement</w:t>
            </w:r>
            <w:r>
              <w:rPr/>
              <w:t xml:space="preserve"> </w:t>
            </w:r>
          </w:p>
        </w:tc>
      </w:tr>
      <w:tr>
        <w:trPr>
          <w:trHeight w:val="506"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PRIJD/SF</w:t>
            </w:r>
            <w:r>
              <w:rPr/>
              <w:t xml:space="preserve"> </w:t>
            </w:r>
          </w:p>
          <w:p>
            <w:pPr>
              <w:spacing w:before="0" w:after="0" w:line="259" w:lineRule="auto"/>
              <w:ind w:left="0" w:firstLine="0"/>
              <w:jc w:val="left"/>
            </w:pP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Plan de Réforme Institutionnelle et Juridique pour la Décentralisation dans le Secteur </w:t>
            </w:r>
          </w:p>
          <w:p>
            <w:pPr>
              <w:spacing w:before="0" w:after="0" w:line="259" w:lineRule="auto"/>
              <w:ind w:left="0" w:firstLine="0"/>
              <w:jc w:val="left"/>
            </w:pPr>
            <w:r>
              <w:rPr/>
              <w:t xml:space="preserve">Forestier</w:t>
            </w:r>
            <w:r>
              <w:rPr/>
              <w:t xml:space="preserve"> </w:t>
            </w:r>
          </w:p>
        </w:tc>
      </w:tr>
      <w:tr>
        <w:trPr>
          <w:trHeight w:val="254"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PROSDRp</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Programme Sectoriel de Développement du Secteur Rural Productif</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PTF</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Partenaires Techniques et Financiers</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REEB2</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Deuxième rapport sur l‟état de l‟environnement au Burkina Faso</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SCADD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Stratégie de Croissance Accélérée et de Développement Durable</w:t>
            </w:r>
            <w:r>
              <w:rPr/>
              <w:t xml:space="preserve"> </w:t>
            </w:r>
          </w:p>
        </w:tc>
      </w:tr>
      <w:tr>
        <w:trPr>
          <w:trHeight w:val="506" w:hRule="atLeast"/>
        </w:trPr>
        <w:tc>
          <w:tcPr>
            <w:tcW w:w="1527" w:type="dxa"/>
            <w:tcBorders>
              <w:top w:val="nil"/>
              <w:left w:val="nil"/>
              <w:bottom w:val="nil"/>
              <w:right w:val="nil"/>
            </w:tcBorders>
            <w:vAlign w:val="bottom"/>
          </w:tcPr>
          <w:p>
            <w:pPr>
              <w:spacing w:before="0" w:after="0" w:line="259" w:lineRule="auto"/>
              <w:ind w:left="0" w:firstLine="0"/>
              <w:jc w:val="left"/>
            </w:pPr>
            <w:r>
              <w:rPr/>
              <w:t xml:space="preserve">SP/CONEDD</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Secrétariat Permanant du Conseil National de l‟Environnement et du Développement </w:t>
            </w:r>
            <w:r>
              <w:rPr/>
              <w:t xml:space="preserve"> </w:t>
            </w:r>
            <w:r>
              <w:rPr/>
              <w:t xml:space="preserve">Durable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SP/CPSA</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Secrétariat Permanent de la Coordination des Politiques Sectorielles Agricoles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STAR</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Système Transparent d‟Allocation des Ressources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UE</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Union Européenne</w:t>
            </w:r>
            <w:r>
              <w:rPr/>
              <w:t xml:space="preserve"> </w:t>
            </w:r>
          </w:p>
        </w:tc>
      </w:tr>
      <w:tr>
        <w:trPr>
          <w:trHeight w:val="248"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UEMOA</w:t>
            </w:r>
            <w:r>
              <w:rPr/>
              <w:t xml:space="preserve"> </w:t>
            </w:r>
          </w:p>
        </w:tc>
        <w:tc>
          <w:tcPr>
            <w:tcW w:w="8049" w:type="dxa"/>
            <w:tcBorders>
              <w:top w:val="nil"/>
              <w:left w:val="nil"/>
              <w:bottom w:val="nil"/>
              <w:right w:val="nil"/>
            </w:tcBorders>
            <w:vAlign w:val="top"/>
          </w:tcPr>
          <w:p>
            <w:pPr>
              <w:spacing w:before="0" w:after="0" w:line="259" w:lineRule="auto"/>
              <w:ind w:left="0" w:firstLine="0"/>
              <w:jc w:val="left"/>
            </w:pPr>
            <w:r>
              <w:rPr/>
              <w:t xml:space="preserve">Union Economique et Monétaire de l‟Afrique de l‟Ouest</w:t>
            </w:r>
            <w:r>
              <w:rPr/>
              <w:t xml:space="preserve"> </w:t>
            </w:r>
          </w:p>
        </w:tc>
      </w:tr>
    </w:tbl>
    <w:p>
      <w:pPr>
        <w:spacing w:before="0" w:after="0" w:line="259" w:lineRule="auto"/>
        <w:ind w:left="-758" w:right="1029" w:firstLine="0"/>
        <w:jc w:val="left"/>
      </w:pPr>
    </w:p>
    <w:tbl>
      <w:tblPr>
        <w:tblStyle w:val="TableGrid"/>
        <w:tblW w:w="9330" w:type="dxa"/>
        <w:tblInd w:w="319" w:type="dxa"/>
        <w:tblCellMar>
          <w:top w:w="0" w:type="dxa"/>
          <w:left w:w="0" w:type="dxa"/>
          <w:bottom w:w="0" w:type="dxa"/>
          <w:right w:w="0" w:type="dxa"/>
        </w:tblCellMar>
      </w:tblPr>
      <w:tblGrid>
        <w:gridCol w:w="1527"/>
        <w:gridCol w:w="7804"/>
      </w:tblGrid>
      <w:tr>
        <w:trPr>
          <w:trHeight w:val="248"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UNBD</w:t>
            </w: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Convention des Nations Unies sur la Diversité Biologique</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UNCCD</w:t>
            </w: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Convention des Nations Unies de Lute contre la Désertification</w:t>
            </w:r>
            <w:r>
              <w:rPr/>
              <w:t xml:space="preserve"> </w:t>
            </w:r>
          </w:p>
        </w:tc>
      </w:tr>
      <w:tr>
        <w:trPr>
          <w:trHeight w:val="506"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UNDAF</w:t>
            </w:r>
            <w:r>
              <w:rPr/>
              <w:t xml:space="preserve"> </w:t>
            </w:r>
          </w:p>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19" w:line="259" w:lineRule="auto"/>
              <w:ind w:left="0" w:firstLine="0"/>
            </w:pPr>
            <w:r>
              <w:rPr/>
              <w:t xml:space="preserve">United Nations Development Assistance Framework</w:t>
            </w:r>
            <w:r>
              <w:rPr/>
              <w:t xml:space="preserve">- </w:t>
            </w:r>
            <w:r>
              <w:rPr/>
              <w:t xml:space="preserve">Plan</w:t>
            </w:r>
            <w:r>
              <w:rPr/>
              <w:t xml:space="preserve"> </w:t>
            </w:r>
            <w:r>
              <w:rPr/>
              <w:t xml:space="preserve">Cadre des Nations Unies</w:t>
            </w:r>
            <w:r>
              <w:rPr/>
              <w:t xml:space="preserve"> </w:t>
            </w:r>
            <w:r>
              <w:rPr/>
              <w:t xml:space="preserve">des </w:t>
            </w:r>
          </w:p>
          <w:p>
            <w:pPr>
              <w:spacing w:before="0" w:after="0" w:line="259" w:lineRule="auto"/>
              <w:ind w:left="0" w:firstLine="0"/>
              <w:jc w:val="left"/>
            </w:pPr>
            <w:r>
              <w:rPr/>
              <w:t xml:space="preserve">Nations Unies pour l‟Aide au Développment</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UNFCCC</w:t>
            </w: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Convention des Nations Unies sur le Changement Climatique</w:t>
            </w: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USD</w:t>
            </w: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Dollar des Etats Unis</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WAP</w:t>
            </w: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Parcs du „‟W‟‟, Arly et Pendjari</w:t>
            </w: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252"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253" w:hRule="atLeast"/>
        </w:trPr>
        <w:tc>
          <w:tcPr>
            <w:tcW w:w="1527" w:type="dxa"/>
            <w:tcBorders>
              <w:top w:val="nil"/>
              <w:left w:val="nil"/>
              <w:bottom w:val="nil"/>
              <w:right w:val="nil"/>
            </w:tcBorders>
            <w:vAlign w:val="top"/>
          </w:tcPr>
          <w:p>
            <w:pPr>
              <w:spacing w:before="0" w:after="0" w:line="259" w:lineRule="auto"/>
              <w:ind w:left="0" w:firstLine="0"/>
              <w:jc w:val="left"/>
            </w:pPr>
            <w:r>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580" w:hRule="atLeast"/>
        </w:trPr>
        <w:tc>
          <w:tcPr>
            <w:tcW w:w="1527" w:type="dxa"/>
            <w:tcBorders>
              <w:top w:val="nil"/>
              <w:left w:val="nil"/>
              <w:bottom w:val="nil"/>
              <w:right w:val="nil"/>
            </w:tcBorders>
            <w:vAlign w:val="top"/>
          </w:tcPr>
          <w:p>
            <w:pPr>
              <w:spacing w:before="0" w:after="0" w:line="259" w:lineRule="auto"/>
              <w:ind w:left="0" w:right="1457" w:firstLine="0"/>
            </w:pPr>
            <w:r>
              <w:rPr/>
              <w:t xml:space="preserve"> </w:t>
            </w:r>
            <w:r>
              <w:rPr>
                <w:rFonts w:cs="Times New Roman" w:hAnsi="Times New Roman" w:eastAsia="Times New Roman" w:ascii="Times New Roman"/>
                <w:b w:val="1"/>
                <w:sz w:val="28"/>
              </w:rPr>
              <w:t xml:space="preserve"> </w:t>
            </w:r>
          </w:p>
        </w:tc>
        <w:tc>
          <w:tcPr>
            <w:tcW w:w="7804" w:type="dxa"/>
            <w:tcBorders>
              <w:top w:val="nil"/>
              <w:left w:val="nil"/>
              <w:bottom w:val="nil"/>
              <w:right w:val="nil"/>
            </w:tcBorders>
            <w:vAlign w:val="top"/>
          </w:tcPr>
          <w:p>
            <w:pPr>
              <w:spacing w:before="0" w:after="0" w:line="259" w:lineRule="auto"/>
              <w:ind w:left="0" w:firstLine="0"/>
              <w:jc w:val="left"/>
            </w:pPr>
            <w:r>
              <w:rPr/>
              <w:t xml:space="preserve"> </w:t>
            </w:r>
          </w:p>
        </w:tc>
      </w:tr>
      <w:tr>
        <w:trPr>
          <w:trHeight w:val="317" w:hRule="atLeast"/>
        </w:trPr>
        <w:tc>
          <w:tcPr>
            <w:tcW w:w="1527" w:type="dxa"/>
            <w:tcBorders>
              <w:top w:val="nil"/>
              <w:left w:val="nil"/>
              <w:bottom w:val="nil"/>
              <w:right w:val="nil"/>
            </w:tcBorders>
            <w:vAlign w:val="top"/>
          </w:tcPr>
          <w:p>
            <w:pPr>
              <w:spacing w:before="0" w:after="0" w:line="259" w:lineRule="auto"/>
              <w:ind w:left="0" w:firstLine="0"/>
              <w:jc w:val="left"/>
            </w:pPr>
            <w:r>
              <w:rPr>
                <w:rFonts w:cs="Times New Roman" w:hAnsi="Times New Roman" w:eastAsia="Times New Roman" w:ascii="Times New Roman"/>
                <w:b w:val="1"/>
                <w:sz w:val="28"/>
              </w:rPr>
              <w:t xml:space="preserve"> </w:t>
            </w:r>
          </w:p>
        </w:tc>
        <w:tc>
          <w:tcPr>
            <w:tcW w:w="7804" w:type="dxa"/>
            <w:tcBorders>
              <w:top w:val="nil"/>
              <w:left w:val="nil"/>
              <w:bottom w:val="nil"/>
              <w:right w:val="nil"/>
            </w:tcBorders>
            <w:vAlign w:val="top"/>
          </w:tcPr>
          <w:p>
            <w:pPr>
              <w:spacing w:before="0" w:after="0" w:line="259" w:lineRule="auto"/>
              <w:ind w:left="1354" w:firstLine="0"/>
              <w:jc w:val="left"/>
            </w:pPr>
            <w:r>
              <w:rPr>
                <w:rFonts w:cs="Times New Roman" w:hAnsi="Times New Roman" w:eastAsia="Times New Roman" w:ascii="Times New Roman"/>
                <w:b w:val="1"/>
                <w:sz w:val="28"/>
              </w:rPr>
              <w:t xml:space="preserve"> </w:t>
            </w:r>
          </w:p>
        </w:tc>
      </w:tr>
    </w:tbl>
    <w:p>
      <w:r>
        <w:br w:type="page"/>
      </w:r>
    </w:p>
    <w:p>
      <w:pPr>
        <w:spacing w:before="0" w:after="0" w:line="259" w:lineRule="auto"/>
        <w:ind w:left="319" w:firstLine="0"/>
        <w:jc w:val="left"/>
      </w:pPr>
      <w:r>
        <w:rPr>
          <w:rFonts w:cs="Times New Roman" w:hAnsi="Times New Roman" w:eastAsia="Times New Roman" w:ascii="Times New Roman"/>
          <w:b w:val="1"/>
          <w:sz w:val="28"/>
        </w:rPr>
        <w:t xml:space="preserve"> </w:t>
      </w:r>
    </w:p>
    <w:p>
      <w:pPr>
        <w:pStyle w:val="heading2"/>
        <w:spacing w:before="0" w:after="13" w:line="248" w:lineRule="auto"/>
        <w:ind w:left="314"/>
      </w:pPr>
      <w:r>
        <w:rPr/>
        <w:t xml:space="preserve">SECTION I</w:t>
      </w:r>
      <w:r>
        <w:rPr/>
        <w:t xml:space="preserve"> </w:t>
      </w:r>
      <w:r>
        <w:rPr/>
        <w:t xml:space="preserve">: ANALYSE DE SITUATION</w:t>
      </w:r>
      <w:r>
        <w:rPr/>
        <w:t xml:space="preserve"> </w:t>
      </w:r>
    </w:p>
    <w:p>
      <w:pPr>
        <w:spacing w:before="0" w:after="0" w:line="259" w:lineRule="auto"/>
        <w:ind w:left="319" w:firstLine="0"/>
        <w:jc w:val="left"/>
      </w:pPr>
      <w:r>
        <w:rPr>
          <w:rFonts w:cs="Times New Roman" w:hAnsi="Times New Roman" w:eastAsia="Times New Roman" w:ascii="Times New Roman"/>
          <w:b w:val="1"/>
          <w:sz w:val="24"/>
        </w:rPr>
        <w:t xml:space="preserve"> </w:t>
      </w:r>
    </w:p>
    <w:p>
      <w:pPr>
        <w:pStyle w:val="heading3"/>
        <w:spacing w:before="0" w:after="10" w:line="249" w:lineRule="auto"/>
        <w:ind w:left="329"/>
      </w:pPr>
      <w:r>
        <w:rPr/>
        <w:t xml:space="preserve">1.1.</w:t>
      </w:r>
      <w:r>
        <w:rPr>
          <w:rFonts w:cs="Arial" w:hAnsi="Arial" w:eastAsia="Arial" w:ascii="Arial"/>
        </w:rPr>
        <w:t xml:space="preserve"> </w:t>
      </w:r>
      <w:r>
        <w:rPr/>
        <w:t xml:space="preserve">Contexte</w:t>
      </w:r>
      <w:r>
        <w:rPr/>
        <w:t xml:space="preserve"> </w:t>
      </w:r>
      <w:r>
        <w:rPr/>
        <w:t xml:space="preserve">socio</w:t>
      </w:r>
      <w:r>
        <w:rPr/>
        <w:t xml:space="preserve">-</w:t>
      </w:r>
      <w:r>
        <w:rPr/>
        <w:t xml:space="preserve">écologique et politique</w:t>
      </w:r>
      <w:r>
        <w:rPr/>
        <w:t xml:space="preserve">   </w:t>
      </w:r>
    </w:p>
    <w:p>
      <w:pPr>
        <w:spacing w:before="0" w:after="0" w:line="259" w:lineRule="auto"/>
        <w:ind w:left="319" w:firstLine="0"/>
        <w:jc w:val="left"/>
      </w:pPr>
      <w:r>
        <w:rPr/>
        <w:t xml:space="preserve"> </w:t>
      </w:r>
    </w:p>
    <w:p>
      <w:pPr>
        <w:pStyle w:val="normal"/>
        <w:numPr>
          <w:ilvl w:val="0"/>
          <w:numId w:val="1"/>
        </w:numPr>
        <w:spacing w:before="0" w:after="5" w:line="247" w:lineRule="auto"/>
        <w:ind w:left="1390" w:right="598" w:hanging="360"/>
      </w:pPr>
      <w:r>
        <w:rPr>
          <w:rFonts w:cs="Times New Roman" w:hAnsi="Times New Roman" w:eastAsia="Times New Roman" w:ascii="Times New Roman"/>
          <w:b w:val="1"/>
        </w:rPr>
        <w:t xml:space="preserve">Une population active surtout</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dans le secteur primaire</w:t>
      </w:r>
      <w:r>
        <w:rPr/>
        <w:t xml:space="preserve">. Le Burkina Faso comptait en 2010 plus de  </w:t>
      </w:r>
      <w:r>
        <w:rPr/>
        <w:t xml:space="preserve">15 706 000</w:t>
      </w:r>
      <w:r>
        <w:rPr>
          <w:vertAlign w:val="superscript"/>
        </w:rPr>
        <w:footnoteReference w:id="49"/>
      </w:r>
      <w:r>
        <w:rPr/>
        <w:t xml:space="preserve"> </w:t>
      </w:r>
      <w:r>
        <w:rPr/>
        <w:t xml:space="preserve">habitants. 76 % de cette population  résidait en milieu rural.  Le secteur primaire absorbe l‟essentiel des actifs occupés (80,4 %) contre 16 % pour le secteur tertiaire et seulement 3,6 % pour le secteur secondaire. Le secteur primaire reste donc le principal pourvoyeur d‟emplois au Burkina</w:t>
      </w:r>
      <w:r>
        <w:rPr/>
        <w:t xml:space="preserve"> </w:t>
      </w:r>
      <w:r>
        <w:rPr/>
        <w:t xml:space="preserve">Faso. Mais la  création de richesse par tête au sein de la population active du secteur primaire est faible par rapport à celle des autres secteurs</w:t>
      </w:r>
      <w:r>
        <w:rPr/>
        <w:t xml:space="preserve"> </w:t>
      </w:r>
      <w:r>
        <w:rPr/>
        <w:t xml:space="preserve">car le secteur primaire contribue seulement pour 3</w:t>
      </w:r>
      <w:r>
        <w:rPr/>
        <w:t xml:space="preserve">1,6</w:t>
      </w:r>
      <w:r>
        <w:rPr/>
        <w:t xml:space="preserve">% au PIB en moyenne</w:t>
      </w:r>
      <w:r>
        <w:rPr>
          <w:vertAlign w:val="superscript"/>
        </w:rPr>
        <w:footnoteReference w:id="50"/>
      </w:r>
      <w:r>
        <w:rPr/>
        <w:t xml:space="preserve">.</w:t>
      </w:r>
      <w:r>
        <w:rPr/>
        <w:t xml:space="preserve"> </w:t>
      </w:r>
      <w:r>
        <w:rPr/>
        <w:t xml:space="preserve">On note que l‟or est devenu depuis 2009 le premier produit d‟exportation du pays</w:t>
      </w:r>
      <w:r>
        <w:rPr/>
        <w:t xml:space="preserve"> </w:t>
      </w:r>
      <w:r>
        <w:rPr/>
        <w:t xml:space="preserve">devant le coton</w:t>
      </w:r>
      <w:r>
        <w:rPr/>
        <w:t xml:space="preserve"> </w:t>
      </w:r>
      <w:r>
        <w:rPr/>
        <w:t xml:space="preserve">qui reste une ressource importante</w:t>
      </w:r>
      <w:r>
        <w:rPr/>
        <w:t xml:space="preserve">.</w:t>
      </w:r>
      <w:r>
        <w:rPr/>
        <w:t xml:space="preserve"> </w:t>
      </w:r>
      <w:r>
        <w:rPr>
          <w:rFonts w:cs="Times New Roman" w:hAnsi="Times New Roman" w:eastAsia="Times New Roman" w:ascii="Times New Roman"/>
          <w:b w:val="1"/>
        </w:rPr>
        <w:t xml:space="preserve"> </w:t>
      </w:r>
    </w:p>
    <w:p>
      <w:pPr>
        <w:spacing w:before="0" w:after="0" w:line="259" w:lineRule="auto"/>
        <w:ind w:left="1390" w:firstLine="0"/>
        <w:jc w:val="left"/>
      </w:pPr>
      <w:r>
        <w:rPr/>
        <w:t xml:space="preserve"> </w:t>
      </w:r>
      <w:r>
        <w:rPr>
          <w:rFonts w:cs="Times New Roman" w:hAnsi="Times New Roman" w:eastAsia="Times New Roman" w:ascii="Times New Roman"/>
          <w:b w:val="1"/>
        </w:rPr>
        <w:t xml:space="preserve"> </w:t>
      </w:r>
    </w:p>
    <w:p>
      <w:pPr>
        <w:pStyle w:val="normal"/>
        <w:numPr>
          <w:ilvl w:val="0"/>
          <w:numId w:val="1"/>
        </w:numPr>
        <w:spacing w:before="0" w:after="38" w:line="247" w:lineRule="auto"/>
        <w:ind w:left="1390" w:right="598" w:hanging="360"/>
      </w:pPr>
      <w:r>
        <w:rPr>
          <w:rFonts w:cs="Times New Roman" w:hAnsi="Times New Roman" w:eastAsia="Times New Roman" w:ascii="Times New Roman"/>
          <w:b w:val="1"/>
        </w:rPr>
        <w:t xml:space="preserve">Des problèmes environnementaux exacerbés par les changements climatiques. </w:t>
      </w:r>
      <w:r>
        <w:rPr/>
        <w:t xml:space="preserve">Les changements climatiques se manifestent au Burkina Faso par la baisse tendancielle de la pluviométrie et l‟accroissement de la fréquence et de l‟amplitude des phénomènes météorologiques extrêmes (pluies, poussières, températures, etc.). Les inondations qui ont été enregistrées au cours de ces dernières années ont entrainé</w:t>
      </w:r>
      <w:r>
        <w:rPr/>
        <w:t xml:space="preserve"> </w:t>
      </w:r>
      <w:r>
        <w:rPr/>
        <w:t xml:space="preserve">le déplacement de populations avec des</w:t>
      </w:r>
      <w:r>
        <w:rPr/>
        <w:t xml:space="preserve"> </w:t>
      </w:r>
      <w:r>
        <w:rPr/>
        <w:t xml:space="preserve">problèmes humanitaires qui touchent surtout les femmes et les enfants. En 2009 les facteurs climatiques ont engendré une perte de 268</w:t>
      </w:r>
      <w:r>
        <w:rPr/>
        <w:t xml:space="preserve"> </w:t>
      </w:r>
      <w:r>
        <w:rPr/>
        <w:t xml:space="preserve">005 tonnes de céréales</w:t>
      </w:r>
      <w:r>
        <w:rPr>
          <w:vertAlign w:val="superscript"/>
        </w:rPr>
        <w:footnoteReference w:id="51"/>
      </w:r>
      <w:r>
        <w:rPr/>
        <w:t xml:space="preserve">, soit une valeur monétaire de </w:t>
      </w:r>
    </w:p>
    <w:p>
      <w:pPr>
        <w:pStyle w:val="normal"/>
        <w:spacing w:before="0" w:after="5" w:line="247" w:lineRule="auto"/>
        <w:ind w:left="1400" w:right="598"/>
      </w:pPr>
      <w:r>
        <w:rPr/>
        <w:t xml:space="preserve">35,266 milliards de francs</w:t>
      </w:r>
      <w:r>
        <w:rPr/>
        <w:t xml:space="preserve">. </w:t>
      </w:r>
      <w:r>
        <w:rPr/>
        <w:t xml:space="preserve">Le second rapport sur l‟état de l‟environnement au Burkina Faso (REEB2), identifie les problèmes environnementaux prioritaires suivants</w:t>
      </w:r>
      <w:r>
        <w:rPr/>
        <w:t xml:space="preserve">:</w:t>
      </w:r>
      <w:r>
        <w:rPr/>
        <w:t xml:space="preserve"> </w:t>
      </w:r>
      <w:r>
        <w:rPr>
          <w:rFonts w:cs="Times New Roman" w:hAnsi="Times New Roman" w:eastAsia="Times New Roman" w:ascii="Times New Roman"/>
          <w:b w:val="1"/>
        </w:rPr>
        <w:t xml:space="preserve"> </w:t>
      </w:r>
    </w:p>
    <w:p>
      <w:pPr>
        <w:spacing w:before="0" w:after="12" w:line="259" w:lineRule="auto"/>
        <w:ind w:left="1040" w:firstLine="0"/>
        <w:jc w:val="left"/>
      </w:pPr>
      <w:r>
        <w:rPr/>
        <w:t xml:space="preserve"> </w:t>
      </w:r>
    </w:p>
    <w:p>
      <w:pPr>
        <w:pStyle w:val="normal"/>
        <w:numPr>
          <w:ilvl w:val="1"/>
          <w:numId w:val="1"/>
        </w:numPr>
        <w:spacing w:before="0" w:after="31" w:line="247" w:lineRule="auto"/>
        <w:ind w:left="1760" w:right="598" w:hanging="360"/>
      </w:pPr>
      <w:r>
        <w:rPr>
          <w:rFonts w:cs="Times New Roman" w:hAnsi="Times New Roman" w:eastAsia="Times New Roman" w:ascii="Times New Roman"/>
          <w:i w:val="1"/>
        </w:rPr>
        <w:t xml:space="preserve">la dégradation des terres</w:t>
      </w:r>
      <w:r>
        <w:rPr/>
        <w:t xml:space="preserve">:</w:t>
      </w:r>
      <w:r>
        <w:rPr/>
        <w:t xml:space="preserve"> </w:t>
      </w:r>
      <w:r>
        <w:rPr/>
        <w:t xml:space="preserve">34 % du territoire</w:t>
      </w:r>
      <w:r>
        <w:rPr>
          <w:vertAlign w:val="superscript"/>
        </w:rPr>
        <w:footnoteReference w:id="52"/>
      </w:r>
      <w:r>
        <w:rPr/>
        <w:t xml:space="preserve">,</w:t>
      </w:r>
      <w:r>
        <w:rPr/>
        <w:t xml:space="preserve"> </w:t>
      </w:r>
      <w:r>
        <w:rPr/>
        <w:t xml:space="preserve">soit 9 234 500 ha des terres de production sont dégradées pour des causes anthropiques (agriculture, élevage, tenures, bois</w:t>
      </w:r>
      <w:r>
        <w:rPr/>
        <w:t xml:space="preserve">-</w:t>
      </w:r>
      <w:r>
        <w:rPr/>
        <w:t xml:space="preserve">énergie, etc.) et climatiques, avec une progression de la dégradation des terres par an estimée de 105 000 à </w:t>
      </w:r>
      <w:r>
        <w:rPr/>
        <w:t xml:space="preserve">250</w:t>
      </w:r>
      <w:r>
        <w:rPr/>
        <w:t xml:space="preserve"> </w:t>
      </w:r>
      <w:r>
        <w:rPr/>
        <w:t xml:space="preserve">000 ha. On note également que 74 % des terres arides ou semi</w:t>
      </w:r>
      <w:r>
        <w:rPr/>
        <w:t xml:space="preserve">-</w:t>
      </w:r>
      <w:r>
        <w:rPr/>
        <w:t xml:space="preserve">arides sont affectées par le phénomène de la désertification/dégradation des terres.</w:t>
      </w:r>
      <w:r>
        <w:rPr/>
        <w:t xml:space="preserve"> </w:t>
      </w:r>
      <w:r>
        <w:rPr/>
        <w:t xml:space="preserve">Le changement climatique contribuera à accentuer les risques, à accélérer la dégradation des terres (érosion, désertification)</w:t>
      </w:r>
      <w:r>
        <w:rPr/>
        <w:t xml:space="preserve"> </w:t>
      </w:r>
      <w:r>
        <w:rPr/>
        <w:t xml:space="preserve">et accentuer les problèmes alimentaires du fait de la baisse des rendements. </w:t>
      </w:r>
      <w:r>
        <w:rPr>
          <w:rFonts w:cs="Times New Roman" w:hAnsi="Times New Roman" w:eastAsia="Times New Roman" w:ascii="Times New Roman"/>
          <w:b w:val="1"/>
        </w:rPr>
        <w:t xml:space="preserve"> </w:t>
      </w:r>
    </w:p>
    <w:p>
      <w:pPr>
        <w:pStyle w:val="normal"/>
        <w:numPr>
          <w:ilvl w:val="1"/>
          <w:numId w:val="1"/>
        </w:numPr>
        <w:spacing w:before="0" w:after="5" w:line="247" w:lineRule="auto"/>
        <w:ind w:left="1760" w:right="598" w:hanging="360"/>
      </w:pPr>
      <w:r>
        <w:rPr>
          <w:rFonts w:cs="Times New Roman" w:hAnsi="Times New Roman" w:eastAsia="Times New Roman" w:ascii="Times New Roman"/>
          <w:i w:val="1"/>
        </w:rPr>
        <w:t xml:space="preserve">la dégradation des ressources en eau</w:t>
      </w:r>
      <w:r>
        <w:rPr/>
        <w:t xml:space="preserve"> </w:t>
      </w:r>
      <w:r>
        <w:rPr/>
        <w:t xml:space="preserve">:</w:t>
      </w:r>
      <w:r>
        <w:rPr/>
        <w:t xml:space="preserve"> </w:t>
      </w:r>
      <w:r>
        <w:rPr/>
        <w:t xml:space="preserve">d‟une situation de stress hydrique modéré en année normale, moyen à élevé en année très sèche au début des années 2000</w:t>
      </w:r>
      <w:r>
        <w:rPr/>
        <w:t xml:space="preserve">,</w:t>
      </w:r>
      <w:r>
        <w:rPr/>
        <w:t xml:space="preserve"> </w:t>
      </w:r>
      <w:r>
        <w:rPr/>
        <w:t xml:space="preserve">le Burkina Faso connaîtra une situation de stress hydrique élevé permanent à l‟horizon 2010 </w:t>
      </w:r>
      <w:r>
        <w:rPr/>
        <w:t xml:space="preserve">- </w:t>
      </w:r>
      <w:r>
        <w:rPr/>
        <w:t xml:space="preserve">2015, la demande en eau atteignant 69,7% du volume utilisable en année normale et 141,9% en année très sèche</w:t>
      </w:r>
      <w:r>
        <w:rPr/>
        <w:t xml:space="preserve">.</w:t>
      </w:r>
      <w:r>
        <w:rPr/>
        <w:t xml:space="preserve"> </w:t>
      </w:r>
      <w:r>
        <w:rPr>
          <w:rFonts w:cs="Times New Roman" w:hAnsi="Times New Roman" w:eastAsia="Times New Roman" w:ascii="Times New Roman"/>
          <w:b w:val="1"/>
        </w:rPr>
        <w:t xml:space="preserve"> </w:t>
      </w:r>
    </w:p>
    <w:p>
      <w:pPr>
        <w:pStyle w:val="normal"/>
        <w:numPr>
          <w:ilvl w:val="1"/>
          <w:numId w:val="1"/>
        </w:numPr>
        <w:spacing w:before="0" w:after="46" w:line="247" w:lineRule="auto"/>
        <w:ind w:left="1760" w:right="598" w:hanging="360"/>
      </w:pPr>
      <w:r>
        <w:rPr>
          <w:rFonts w:cs="Times New Roman" w:hAnsi="Times New Roman" w:eastAsia="Times New Roman" w:ascii="Times New Roman"/>
          <w:i w:val="1"/>
        </w:rPr>
        <w:t xml:space="preserve">la fragilité du système énergétique</w:t>
      </w:r>
      <w:r>
        <w:rPr/>
        <w:t xml:space="preserve"> </w:t>
      </w:r>
      <w:r>
        <w:rPr/>
        <w:t xml:space="preserve">: il est fondé sur la biomasse à 85% et les produits pétroliers à 14% dans un contexte de très forte croissance de la demande d‟énergie</w:t>
      </w:r>
      <w:r>
        <w:rPr/>
        <w:t xml:space="preserve">.</w:t>
      </w:r>
      <w:r>
        <w:rPr/>
        <w:t xml:space="preserve"> </w:t>
      </w:r>
      <w:r>
        <w:rPr/>
        <w:t xml:space="preserve">Au vu de la productivité en bois de feu des formations végétales</w:t>
      </w:r>
      <w:r>
        <w:rPr/>
        <w:t xml:space="preserve">,</w:t>
      </w:r>
      <w:r>
        <w:rPr/>
        <w:t xml:space="preserve"> </w:t>
      </w:r>
      <w:r>
        <w:rPr/>
        <w:t xml:space="preserve">le déficit entre le disponible et les besoins, tend à s‟aggraver, les besoins n‟étant désormais couverts qu‟à 61%, contre</w:t>
      </w:r>
      <w:r>
        <w:rPr/>
        <w:t xml:space="preserve"> </w:t>
      </w:r>
      <w:r>
        <w:rPr/>
        <w:t xml:space="preserve">77% en </w:t>
      </w:r>
      <w:r>
        <w:rPr/>
        <w:t xml:space="preserve">1992.</w:t>
      </w:r>
      <w:r>
        <w:rPr>
          <w:rFonts w:cs="Times New Roman" w:hAnsi="Times New Roman" w:eastAsia="Times New Roman" w:ascii="Times New Roman"/>
          <w:b w:val="1"/>
        </w:rPr>
        <w:t xml:space="preserve"> </w:t>
      </w:r>
      <w:r>
        <w:rPr>
          <w:rFonts w:cs="Segoe UI Symbol" w:hAnsi="Segoe UI Symbol" w:eastAsia="Segoe UI Symbol" w:ascii="Segoe UI Symbol"/>
        </w:rPr>
        <w:t xml:space="preserve"></w:t>
      </w:r>
      <w:r>
        <w:rPr>
          <w:rFonts w:cs="Arial" w:hAnsi="Arial" w:eastAsia="Arial" w:ascii="Arial"/>
        </w:rPr>
        <w:t xml:space="preserve"> </w:t>
      </w:r>
      <w:r>
        <w:rPr>
          <w:rFonts w:cs="Times New Roman" w:hAnsi="Times New Roman" w:eastAsia="Times New Roman" w:ascii="Times New Roman"/>
          <w:i w:val="1"/>
        </w:rPr>
        <w:t xml:space="preserve">l’exacerbation des problèmes environnementaux urbains</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w:t>
      </w:r>
      <w:r>
        <w:rPr/>
        <w:t xml:space="preserve"> </w:t>
      </w:r>
      <w:r>
        <w:rPr/>
        <w:t xml:space="preserve">une augmentation relative de près de 10% de la population urbaine par rapport à 2007 est prévue en 2020 avec près d‟un tiers de Burkinabé (31,3%</w:t>
      </w:r>
      <w:r>
        <w:rPr>
          <w:vertAlign w:val="superscript"/>
        </w:rPr>
        <w:footnoteReference w:id="53"/>
      </w:r>
      <w:r>
        <w:rPr/>
        <w:t xml:space="preserve">) </w:t>
      </w:r>
      <w:r>
        <w:rPr/>
        <w:t xml:space="preserve">vivant en ville. </w:t>
      </w:r>
      <w:r>
        <w:rPr>
          <w:rFonts w:cs="Times New Roman" w:hAnsi="Times New Roman" w:eastAsia="Times New Roman" w:ascii="Times New Roman"/>
          <w:b w:val="1"/>
        </w:rPr>
        <w:t xml:space="preserve"> </w:t>
      </w:r>
    </w:p>
    <w:p>
      <w:pPr>
        <w:pStyle w:val="normal"/>
        <w:numPr>
          <w:ilvl w:val="1"/>
          <w:numId w:val="1"/>
        </w:numPr>
        <w:spacing w:before="0" w:after="5" w:line="247" w:lineRule="auto"/>
        <w:ind w:left="1760" w:right="598" w:hanging="360"/>
      </w:pPr>
      <w:r>
        <w:rPr>
          <w:rFonts w:cs="Times New Roman" w:hAnsi="Times New Roman" w:eastAsia="Times New Roman" w:ascii="Times New Roman"/>
          <w:i w:val="1"/>
        </w:rPr>
        <w:t xml:space="preserve">l’érosion de la diversité biologique</w:t>
      </w:r>
      <w:r>
        <w:rPr>
          <w:rFonts w:cs="Tahoma" w:hAnsi="Tahoma" w:eastAsia="Tahoma" w:ascii="Tahoma"/>
          <w:sz w:val="20"/>
        </w:rPr>
        <w:t xml:space="preserve"> </w:t>
      </w:r>
      <w:r>
        <w:rPr>
          <w:rFonts w:cs="Tahoma" w:hAnsi="Tahoma" w:eastAsia="Tahoma" w:ascii="Tahoma"/>
          <w:sz w:val="20"/>
        </w:rPr>
        <w:t xml:space="preserve">: elle est </w:t>
      </w:r>
      <w:r>
        <w:rPr/>
        <w:t xml:space="preserve">due aux fortes pressions exercées par les activités humaines (agriculture, élevage, bois de chauffe, urbanisation, chasse, etc.) qui sont à l'origine d'une fragilisation des habitats naturels (dégradation du couvert végétal, </w:t>
      </w:r>
      <w:r>
        <w:rPr/>
        <w:t xml:space="preserve">déforestation, assèchement des zones humides, etc.), d'une vulnérabilité croissante des espèces végétales et animales et de la disparition de certaines d'entre elles. Le couvert forestier subit une diminution moyenne annuelle de 110</w:t>
      </w:r>
      <w:r>
        <w:rPr/>
        <w:t xml:space="preserve"> </w:t>
      </w:r>
      <w:r>
        <w:rPr/>
        <w:t xml:space="preserve">500 ha, soit 4,04% en moyenne par an, de 1992 à 2002</w:t>
      </w:r>
      <w:r>
        <w:rPr>
          <w:vertAlign w:val="superscript"/>
        </w:rPr>
        <w:footnoteReference w:id="54"/>
      </w:r>
      <w:r>
        <w:rPr/>
        <w:t xml:space="preserve">.</w:t>
      </w:r>
      <w:r>
        <w:rPr/>
        <w:t xml:space="preserve">   </w:t>
      </w:r>
    </w:p>
    <w:p>
      <w:pPr>
        <w:spacing w:before="0" w:after="0" w:line="259" w:lineRule="auto"/>
        <w:ind w:left="1390" w:firstLine="0"/>
        <w:jc w:val="left"/>
      </w:pPr>
      <w:r>
        <w:rPr>
          <w:rFonts w:cs="Times New Roman" w:hAnsi="Times New Roman" w:eastAsia="Times New Roman" w:ascii="Times New Roman"/>
          <w:b w:val="1"/>
        </w:rPr>
        <w:t xml:space="preserve"> </w:t>
      </w:r>
    </w:p>
    <w:p>
      <w:pPr>
        <w:pStyle w:val="normal"/>
        <w:numPr>
          <w:ilvl w:val="0"/>
          <w:numId w:val="1"/>
        </w:numPr>
        <w:spacing w:before="0" w:after="5" w:line="247" w:lineRule="auto"/>
        <w:ind w:left="1390" w:right="598" w:hanging="360"/>
      </w:pPr>
      <w:r>
        <w:rPr>
          <w:rFonts w:cs="Times New Roman" w:hAnsi="Times New Roman" w:eastAsia="Times New Roman" w:ascii="Times New Roman"/>
          <w:b w:val="1"/>
        </w:rPr>
        <w:t xml:space="preserve">Les défis environnementaux identifiés par les principaux acteurs </w:t>
      </w:r>
      <w:r>
        <w:rPr/>
        <w:t xml:space="preserve">portent sur</w:t>
      </w:r>
      <w:r>
        <w:rPr/>
        <w:t xml:space="preserve">:</w:t>
      </w:r>
      <w:r>
        <w:rPr>
          <w:rFonts w:cs="Times New Roman" w:hAnsi="Times New Roman" w:eastAsia="Times New Roman" w:ascii="Times New Roman"/>
          <w:b w:val="1"/>
        </w:rPr>
        <w:t xml:space="preserve"> </w:t>
      </w:r>
      <w:r>
        <w:rPr/>
        <w:t xml:space="preserve">(i) la gestion durable des terres dans un contexte de changement climatique; (ii) l'accès à l‟eau potable; (iii) l‟exploitation minière durable; (iv) l‟amélioration du cadre de vie; (v) la prévention et à la gestion des catastrophes naturelles et technologiques; (vi) la promotion des évaluations environnementales dans tous les programmes et projets de développement; (vii) la mise en application des instruments économiques et financiers de l'environnement;</w:t>
      </w:r>
      <w:r>
        <w:rPr/>
        <w:t xml:space="preserve"> </w:t>
      </w:r>
      <w:r>
        <w:rPr/>
        <w:t xml:space="preserve">(ix)</w:t>
      </w:r>
      <w:r>
        <w:rPr/>
        <w:t xml:space="preserve"> </w:t>
      </w:r>
      <w:r>
        <w:rPr/>
        <w:t xml:space="preserve">le renforcement de la gouvernance de l‟environnement au niveau des collectivités; (x) la promotion des emplois verts décents</w:t>
      </w:r>
      <w:r>
        <w:rPr>
          <w:rFonts w:cs="Times New Roman" w:hAnsi="Times New Roman" w:eastAsia="Times New Roman" w:ascii="Times New Roman"/>
          <w:b w:val="1"/>
        </w:rPr>
        <w:t xml:space="preserve"> </w:t>
      </w:r>
      <w:r>
        <w:rPr/>
        <w:t xml:space="preserve">et</w:t>
      </w:r>
      <w:r>
        <w:rPr>
          <w:rFonts w:cs="Times New Roman" w:hAnsi="Times New Roman" w:eastAsia="Times New Roman" w:ascii="Times New Roman"/>
          <w:b w:val="1"/>
        </w:rPr>
        <w:t xml:space="preserve"> </w:t>
      </w:r>
      <w:r>
        <w:rPr/>
        <w:t xml:space="preserve">de l‟équité homme</w:t>
      </w:r>
      <w:r>
        <w:rPr/>
        <w:t xml:space="preserve">-</w:t>
      </w:r>
      <w:r>
        <w:rPr/>
        <w:t xml:space="preserve">femme</w:t>
      </w:r>
      <w:r>
        <w:rPr>
          <w:rFonts w:cs="Times New Roman" w:hAnsi="Times New Roman" w:eastAsia="Times New Roman" w:ascii="Times New Roman"/>
          <w:b w:val="1"/>
        </w:rPr>
        <w:t xml:space="preserve"> </w:t>
      </w:r>
      <w:r>
        <w:rPr/>
        <w:t xml:space="preserve">dans la gestion des ressources naturelles</w:t>
      </w:r>
      <w:r>
        <w:rPr/>
        <w:t xml:space="preserve">. </w:t>
      </w:r>
      <w:r>
        <w:rPr/>
        <w:t xml:space="preserve">La question du genre reste préoccupante car</w:t>
      </w:r>
      <w:r>
        <w:rPr/>
        <w:t xml:space="preserve">,</w:t>
      </w:r>
      <w:r>
        <w:rPr/>
        <w:t xml:space="preserve"> o</w:t>
      </w:r>
      <w:r>
        <w:rPr/>
        <w:t xml:space="preserve">utre les iniquités pour l‟accès au foncier, les hommes et les femmes ne  participent pas équitablement aux débats et à la prise de décision sur la gestion des ressources naturelles. Dans la filière karité par exemple les femmes sont les principales actrices de la collecte et de la transformation des produits mais le droit coutumier ne reconnaît pas de prérogatives aux femmes dans la gestion de l‟arbre. Ce droit coutumier régit encore l‟accès aux ressources naturelles au sein de la plupart des communautés rurales. De même la faible capacité financière des femmes fragilise leur position dans la valorisation des ressources naturelles. Elles sont généralement confinées aux segments à faible valeur ajoutée. C‟est ainsi que dans la filière bois</w:t>
      </w:r>
      <w:r>
        <w:rPr/>
        <w:t xml:space="preserve"/>
      </w:r>
      <w:r>
        <w:rPr/>
        <w:t xml:space="preserve">énergie, on retrouve les femmes dans les tâches de débitrices (coupe du bois) et de détaillants mais leur effectif est faible dans les fonctions de grossistes transporteurs qui présentent les meilleures marges bénéficiaires. Les femmes sont en outre plus sévèrement touchées par les aléas climatiques en raison surtout de la faiblesse relative de leurs revenus et de leurs capacités techniques.</w:t>
      </w:r>
      <w:r>
        <w:rPr>
          <w:rFonts w:cs="Times New Roman" w:hAnsi="Times New Roman" w:eastAsia="Times New Roman" w:ascii="Times New Roman"/>
          <w:b w:val="1"/>
        </w:rPr>
        <w:t xml:space="preserve"> </w:t>
      </w:r>
    </w:p>
    <w:p>
      <w:pPr>
        <w:spacing w:before="0" w:after="0" w:line="259" w:lineRule="auto"/>
        <w:ind w:left="1390" w:firstLine="0"/>
        <w:jc w:val="left"/>
      </w:pPr>
      <w:r>
        <w:rPr/>
        <w:t xml:space="preserve"> </w:t>
      </w:r>
    </w:p>
    <w:p>
      <w:pPr>
        <w:pStyle w:val="normal"/>
        <w:numPr>
          <w:ilvl w:val="0"/>
          <w:numId w:val="1"/>
        </w:numPr>
        <w:spacing w:before="0" w:after="5" w:line="247" w:lineRule="auto"/>
        <w:ind w:left="1390" w:right="598" w:hanging="360"/>
      </w:pPr>
      <w:r>
        <w:rPr>
          <w:rFonts w:cs="Times New Roman" w:hAnsi="Times New Roman" w:eastAsia="Times New Roman" w:ascii="Times New Roman"/>
          <w:b w:val="1"/>
          <w:i w:val="1"/>
        </w:rPr>
        <w:t xml:space="preserve">Une volonté politique affirmée</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pour la gouvernance de l’environnement</w:t>
      </w:r>
      <w:r>
        <w:rPr>
          <w:rFonts w:cs="Times New Roman" w:hAnsi="Times New Roman" w:eastAsia="Times New Roman" w:ascii="Times New Roman"/>
          <w:b w:val="1"/>
          <w:i w:val="1"/>
        </w:rPr>
        <w:t xml:space="preserve">.</w:t>
      </w:r>
      <w:r>
        <w:rPr/>
        <w:t xml:space="preserve"> </w:t>
      </w:r>
      <w:r>
        <w:rPr/>
        <w:t xml:space="preserve">L‟engagement</w:t>
      </w:r>
      <w:r>
        <w:rPr/>
        <w:t xml:space="preserve"> </w:t>
      </w:r>
      <w:r>
        <w:rPr/>
        <w:t xml:space="preserve">du Gouvernement</w:t>
      </w:r>
      <w:r>
        <w:rPr/>
        <w:t xml:space="preserve"> </w:t>
      </w:r>
      <w:r>
        <w:rPr/>
        <w:t xml:space="preserve">à gérer plus efficacement l‟environnement a permis de mettre en place un cadre politique, juridique et institutionnel favorable</w:t>
      </w:r>
      <w:r>
        <w:rPr/>
        <w:t xml:space="preserve">. </w:t>
      </w:r>
      <w:r>
        <w:rPr/>
        <w:t xml:space="preserve">Au niveau des orientations politiques, le pays a ratifié une quinzaine de</w:t>
      </w:r>
      <w:r>
        <w:rPr/>
        <w:t xml:space="preserve"> </w:t>
      </w:r>
      <w:r>
        <w:rPr/>
        <w:t xml:space="preserve">conventions et protocoles internationaux dont notamment les conventions générées par la Conférence Rio en 1992. Conformément à ces engagements, des documents de politiques visant une meilleure gestion de l‟environnement ont été adoptés (Politique Nationale en matière d‟Environnement,</w:t>
      </w:r>
      <w:r>
        <w:rPr/>
        <w:t xml:space="preserve"> </w:t>
      </w:r>
      <w:r>
        <w:rPr/>
        <w:t xml:space="preserve">Politique Forestière Nationale, Déclaration de Politique Minière, Stratégie de Développement Rural, Programme</w:t>
      </w:r>
      <w:r>
        <w:rPr/>
        <w:t xml:space="preserve"> </w:t>
      </w:r>
      <w:r>
        <w:rPr/>
        <w:t xml:space="preserve">d‟Action National d‟adaptation à la variabilité et aux changements climatiques, Stratégie de Croissance Accélérée et</w:t>
      </w:r>
      <w:r>
        <w:rPr/>
        <w:t xml:space="preserve"> </w:t>
      </w:r>
      <w:r>
        <w:rPr/>
        <w:t xml:space="preserve">de Développement Durable</w:t>
      </w:r>
      <w:r>
        <w:rPr/>
        <w:t xml:space="preserve">). </w:t>
      </w:r>
      <w:r>
        <w:rPr/>
        <w:t xml:space="preserve">Une Politique Nationale d‟Aménagement du Territoire a également été adoptée</w:t>
      </w:r>
      <w:r>
        <w:rPr/>
        <w:t xml:space="preserve"> </w:t>
      </w:r>
      <w:r>
        <w:rPr/>
        <w:t xml:space="preserve">et le</w:t>
      </w:r>
      <w:r>
        <w:rPr/>
        <w:t xml:space="preserve"> </w:t>
      </w:r>
      <w:r>
        <w:rPr/>
        <w:t xml:space="preserve">schéma national d‟aménagement du territoire est en cours de finalisation</w:t>
      </w:r>
      <w:r>
        <w:rPr/>
        <w:t xml:space="preserve">.</w:t>
      </w:r>
      <w:r>
        <w:rPr/>
        <w:t xml:space="preserve"> </w:t>
      </w:r>
      <w:r>
        <w:rPr/>
        <w:t xml:space="preserve">Au niveau du cadre juridique</w:t>
      </w:r>
      <w:r>
        <w:rPr/>
        <w:t xml:space="preserve">, </w:t>
      </w:r>
      <w:r>
        <w:rPr/>
        <w:t xml:space="preserve">plusieurs textes législatifs</w:t>
      </w:r>
      <w:r>
        <w:rPr/>
        <w:t xml:space="preserve"> </w:t>
      </w:r>
      <w:r>
        <w:rPr/>
        <w:t xml:space="preserve">qui sont des outils de gestion de l‟environnement ont été adoptés. Il s‟agit notamment de la réorganisation agraire et foncière</w:t>
      </w:r>
      <w:r>
        <w:rPr/>
        <w:t xml:space="preserve">  </w:t>
      </w:r>
      <w:r>
        <w:rPr/>
        <w:t xml:space="preserve">(Loi n°  </w:t>
      </w:r>
      <w:r>
        <w:rPr/>
        <w:t xml:space="preserve">-</w:t>
      </w:r>
      <w:r>
        <w:rPr/>
        <w:t xml:space="preserve">2011</w:t>
      </w:r>
      <w:r>
        <w:rPr/>
        <w:t xml:space="preserve">/ADP), du</w:t>
      </w:r>
      <w:r>
        <w:rPr/>
        <w:t xml:space="preserve"> </w:t>
      </w:r>
      <w:r>
        <w:rPr/>
        <w:t xml:space="preserve">code de l‟Environnement (la loi n° 005</w:t>
      </w:r>
      <w:r>
        <w:rPr/>
        <w:t xml:space="preserve">-</w:t>
      </w:r>
      <w:r>
        <w:rPr/>
        <w:t xml:space="preserve">97/ADP), du</w:t>
      </w:r>
      <w:r>
        <w:rPr/>
        <w:t xml:space="preserve"> </w:t>
      </w:r>
      <w:r>
        <w:rPr/>
        <w:t xml:space="preserve">Code forestier adopté</w:t>
      </w:r>
      <w:r>
        <w:rPr/>
        <w:t xml:space="preserve"> </w:t>
      </w:r>
      <w:r>
        <w:rPr/>
        <w:t xml:space="preserve">en 201</w:t>
      </w:r>
      <w:r>
        <w:rPr/>
        <w:t xml:space="preserve">1,</w:t>
      </w:r>
      <w:r>
        <w:rPr/>
        <w:t xml:space="preserve"> </w:t>
      </w:r>
      <w:r>
        <w:rPr/>
        <w:t xml:space="preserve">de la loi d‟orientation relative à la gestion de l‟eau (Loi n° 002</w:t>
      </w:r>
      <w:r>
        <w:rPr/>
        <w:t xml:space="preserve">-</w:t>
      </w:r>
      <w:r>
        <w:rPr/>
        <w:t xml:space="preserve">2001/AN), du code minier (loi n° 031</w:t>
      </w:r>
      <w:r>
        <w:rPr/>
        <w:t xml:space="preserve">-</w:t>
      </w:r>
      <w:r>
        <w:rPr/>
        <w:t xml:space="preserve">2003/AN), du Code de santé publique (loi n° 023 </w:t>
      </w:r>
      <w:r>
        <w:rPr/>
        <w:t xml:space="preserve">-</w:t>
      </w:r>
      <w:r>
        <w:rPr/>
        <w:t xml:space="preserve">94/ADP</w:t>
      </w:r>
      <w:r>
        <w:rPr/>
        <w:t xml:space="preserve">) </w:t>
      </w:r>
      <w:r>
        <w:rPr/>
        <w:t xml:space="preserve">du</w:t>
      </w:r>
      <w:r>
        <w:rPr/>
        <w:t xml:space="preserve"> </w:t>
      </w:r>
      <w:r>
        <w:rPr/>
        <w:t xml:space="preserve">code  d‟hygiène</w:t>
      </w:r>
      <w:r>
        <w:rPr/>
        <w:t xml:space="preserve"> </w:t>
      </w:r>
      <w:r>
        <w:rPr/>
        <w:t xml:space="preserve">publique (loi n° 022</w:t>
      </w:r>
      <w:r>
        <w:rPr/>
        <w:t xml:space="preserve">-</w:t>
      </w:r>
      <w:r>
        <w:rPr/>
        <w:t xml:space="preserve">2005/AN), de loi d‟orientation relative au pastoralisme</w:t>
      </w:r>
      <w:r>
        <w:rPr/>
        <w:t xml:space="preserve"> (</w:t>
      </w:r>
      <w:r>
        <w:rPr/>
        <w:t xml:space="preserve">loi n° 034</w:t>
      </w:r>
      <w:r>
        <w:rPr/>
        <w:t xml:space="preserve">-</w:t>
      </w:r>
      <w:r>
        <w:rPr/>
        <w:t xml:space="preserve">2002/AN</w:t>
      </w:r>
      <w:r>
        <w:rPr/>
        <w:t xml:space="preserve">) </w:t>
      </w:r>
      <w:r>
        <w:rPr/>
        <w:t xml:space="preserve">et de la loi relative au régime</w:t>
      </w:r>
      <w:r>
        <w:rPr/>
        <w:t xml:space="preserve"> </w:t>
      </w:r>
      <w:r>
        <w:rPr/>
        <w:t xml:space="preserve">foncier rural</w:t>
      </w:r>
      <w:r>
        <w:rPr/>
        <w:t xml:space="preserve"> </w:t>
      </w:r>
      <w:r>
        <w:rPr/>
        <w:t xml:space="preserve">(loi 034</w:t>
      </w:r>
      <w:r>
        <w:rPr/>
        <w:t xml:space="preserve">-</w:t>
      </w:r>
      <w:r>
        <w:rPr/>
        <w:t xml:space="preserve">2009 AN)</w:t>
      </w:r>
      <w:r>
        <w:rPr/>
        <w:t xml:space="preserve">.</w:t>
      </w:r>
      <w:r>
        <w:rPr/>
        <w:t xml:space="preserve"> </w:t>
      </w:r>
      <w:r>
        <w:rPr>
          <w:sz w:val="24"/>
        </w:rPr>
        <w:t xml:space="preserve"> </w:t>
      </w:r>
    </w:p>
    <w:p>
      <w:pPr>
        <w:spacing w:before="0" w:after="0" w:line="259" w:lineRule="auto"/>
        <w:ind w:left="1390" w:firstLine="0"/>
        <w:jc w:val="left"/>
      </w:pPr>
      <w:r>
        <w:rPr>
          <w:sz w:val="24"/>
        </w:rPr>
        <w:t xml:space="preserve"> </w:t>
      </w:r>
    </w:p>
    <w:p>
      <w:pPr>
        <w:pStyle w:val="normal"/>
        <w:numPr>
          <w:ilvl w:val="0"/>
          <w:numId w:val="1"/>
        </w:numPr>
        <w:spacing w:before="0" w:after="5" w:line="247" w:lineRule="auto"/>
        <w:ind w:left="1390" w:right="598" w:hanging="360"/>
      </w:pPr>
      <w:r>
        <w:rPr/>
        <w:t xml:space="preserve">Au plan institutionnel,</w:t>
      </w:r>
      <w:r>
        <w:rPr/>
        <w:t xml:space="preserve"> </w:t>
      </w:r>
      <w:r>
        <w:rPr/>
        <w:t xml:space="preserve">le département ministériel en charge de l‟Environnement a été créé quatre ans</w:t>
      </w:r>
      <w:r>
        <w:rPr/>
        <w:t xml:space="preserve"> </w:t>
      </w:r>
      <w:r>
        <w:rPr/>
        <w:t xml:space="preserve">seulement</w:t>
      </w:r>
      <w:r>
        <w:rPr/>
        <w:t xml:space="preserve"> </w:t>
      </w:r>
      <w:r>
        <w:rPr/>
        <w:t xml:space="preserve">après la première conférence mondiale sur l‟environnement et le développement tenue en 1972 à Stockholm en Suède. En 2011, ce département prend l‟appellation de ministère de l‟Environnement et du Développement Durable.</w:t>
      </w:r>
      <w:r>
        <w:rPr/>
        <w:t xml:space="preserve"> </w:t>
      </w:r>
      <w:r>
        <w:rPr/>
        <w:t xml:space="preserve">La création du Conseil National pour l‟Environnement et le Développement Durable (CONEDD), de l'Agence de Promotion des </w:t>
      </w:r>
    </w:p>
    <w:p>
      <w:pPr>
        <w:spacing w:before="0" w:after="20" w:line="243" w:lineRule="auto"/>
        <w:ind w:left="10" w:right="614"/>
        <w:jc w:val="right"/>
      </w:pPr>
      <w:r>
        <w:rPr/>
        <w:t xml:space="preserve">Produits Forestiers Non Ligneux, de l‟Office National des aires protégées et du Bureau National </w:t>
      </w:r>
    </w:p>
    <w:p>
      <w:pPr>
        <w:pStyle w:val="normal"/>
        <w:spacing w:before="0" w:after="5" w:line="247" w:lineRule="auto"/>
        <w:ind w:left="1400" w:right="598"/>
      </w:pPr>
      <w:r>
        <w:rPr/>
        <w:t xml:space="preserve">des évaluations environnementales (BUNED) marquent le souci d‟articuler les missions</w:t>
      </w:r>
      <w:r>
        <w:rPr/>
        <w:t xml:space="preserve"> </w:t>
      </w:r>
      <w:r>
        <w:rPr/>
        <w:t xml:space="preserve">verticales et horizontales du ministère chargé</w:t>
      </w:r>
      <w:r>
        <w:rPr/>
        <w:t xml:space="preserve"> </w:t>
      </w:r>
      <w:r>
        <w:rPr/>
        <w:t xml:space="preserve">de l‟environnement</w:t>
      </w:r>
      <w:r>
        <w:rPr/>
        <w:t xml:space="preserve">.</w:t>
      </w:r>
      <w:r>
        <w:rPr/>
        <w:t xml:space="preserve">  </w:t>
      </w:r>
    </w:p>
    <w:p>
      <w:pPr>
        <w:spacing w:before="0" w:after="0" w:line="259" w:lineRule="auto"/>
        <w:ind w:left="1390" w:firstLine="0"/>
        <w:jc w:val="left"/>
      </w:pPr>
      <w:r>
        <w:rPr>
          <w:rFonts w:cs="Times New Roman" w:hAnsi="Times New Roman" w:eastAsia="Times New Roman" w:ascii="Times New Roman"/>
          <w:b w:val="1"/>
        </w:rPr>
        <w:t xml:space="preserve"> </w:t>
      </w:r>
    </w:p>
    <w:p>
      <w:pPr>
        <w:pStyle w:val="normal"/>
        <w:numPr>
          <w:ilvl w:val="0"/>
          <w:numId w:val="1"/>
        </w:numPr>
        <w:spacing w:before="0" w:after="5" w:line="247" w:lineRule="auto"/>
        <w:ind w:left="1390" w:right="598" w:hanging="360"/>
      </w:pPr>
      <w:r>
        <w:rPr/>
        <w:t xml:space="preserve">L</w:t>
      </w:r>
      <w:r>
        <w:rPr/>
        <w:t xml:space="preserve">‟</w:t>
      </w:r>
      <w:r>
        <w:rPr/>
        <w:t xml:space="preserve">adoption de la SCADD en 2010 comme principal outil de développement économique et social</w:t>
      </w:r>
      <w:r>
        <w:rPr/>
        <w:t xml:space="preserve"> </w:t>
      </w:r>
      <w:r>
        <w:rPr/>
        <w:t xml:space="preserve">et la transformation</w:t>
      </w:r>
      <w:r>
        <w:rPr/>
        <w:t xml:space="preserve"> </w:t>
      </w:r>
      <w:r>
        <w:rPr/>
        <w:t xml:space="preserve">récente</w:t>
      </w:r>
      <w:r>
        <w:rPr/>
        <w:t xml:space="preserve">  </w:t>
      </w:r>
      <w:r>
        <w:rPr/>
        <w:t xml:space="preserve">du ministère de l‟environnement et du cadre de vie en ministère de l‟environnement et du développement durable</w:t>
      </w:r>
      <w:r>
        <w:rPr/>
        <w:t xml:space="preserve"> </w:t>
      </w:r>
      <w:r>
        <w:rPr/>
        <w:t xml:space="preserve">marquent la volonté des autorités de consolider la gouvernance de l‟environnement.</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La SCADD</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qui tient lieu de Stratégie Nationale de Développement Durable</w:t>
      </w:r>
      <w:r>
        <w:rPr>
          <w:rFonts w:cs="Times New Roman" w:hAnsi="Times New Roman" w:eastAsia="Times New Roman" w:ascii="Times New Roman"/>
          <w:i w:val="1"/>
        </w:rPr>
        <w:t xml:space="preserve"> </w:t>
      </w:r>
      <w:r>
        <w:rPr/>
        <w:t xml:space="preserve">intègre l'ensemble des cadres d'orientation du développement et dessine les orientations stratégiques qui accompagnent l'ambition du Burkina Faso à long terme. Elle a vocation à mettre en synergie la viabilité environnementale avec  les deux autres  dimensions du développement durable que sont l‟efficacité économique et l‟équité sociale. L‟un des huit objectifs spécifiques de la SCADD concerne la gestion durable de l‟environnement</w:t>
      </w:r>
      <w:r>
        <w:rPr/>
        <w:t xml:space="preserve"> </w:t>
      </w:r>
      <w:r>
        <w:rPr/>
        <w:t xml:space="preserve">qui est</w:t>
      </w:r>
      <w:r>
        <w:rPr/>
        <w:t xml:space="preserve"> </w:t>
      </w:r>
      <w:r>
        <w:rPr/>
        <w:t xml:space="preserve">également retenue comme une priorité transversale.</w:t>
      </w:r>
      <w:r>
        <w:rPr/>
        <w:t xml:space="preserve"> </w:t>
      </w:r>
      <w:r>
        <w:rPr/>
        <w:t xml:space="preserve">Pour le quinquennat à venir, l‟option est faite de privilégier les interventions visant</w:t>
      </w:r>
      <w:r>
        <w:rPr/>
        <w:t xml:space="preserve">:</w:t>
      </w:r>
      <w:r>
        <w:rPr>
          <w:rFonts w:cs="Times New Roman" w:hAnsi="Times New Roman" w:eastAsia="Times New Roman" w:ascii="Times New Roman"/>
          <w:b w:val="1"/>
        </w:rPr>
        <w:t xml:space="preserve"> </w:t>
      </w:r>
    </w:p>
    <w:p>
      <w:pPr>
        <w:pStyle w:val="normal"/>
        <w:numPr>
          <w:ilvl w:val="0"/>
          <w:numId w:val="2"/>
        </w:numPr>
        <w:spacing w:before="0" w:after="5" w:line="247" w:lineRule="auto"/>
        <w:ind w:left="1750" w:right="598" w:hanging="360"/>
      </w:pPr>
      <w:r>
        <w:rPr/>
        <w:t xml:space="preserve">la gouvernance environnementale et le renforcement des capacités</w:t>
      </w:r>
      <w:r>
        <w:rPr/>
        <w:t xml:space="preserve">; </w:t>
      </w:r>
    </w:p>
    <w:p>
      <w:pPr>
        <w:pStyle w:val="normal"/>
        <w:numPr>
          <w:ilvl w:val="0"/>
          <w:numId w:val="2"/>
        </w:numPr>
        <w:spacing w:before="0" w:after="34" w:line="247" w:lineRule="auto"/>
        <w:ind w:left="1750" w:right="598" w:hanging="360"/>
      </w:pPr>
      <w:r>
        <w:rPr/>
        <w:t xml:space="preserve">la prise en compte des liens pauvreté</w:t>
      </w:r>
      <w:r>
        <w:rPr/>
        <w:t xml:space="preserve">-</w:t>
      </w:r>
      <w:r>
        <w:rPr/>
        <w:t xml:space="preserve">environnement</w:t>
      </w:r>
      <w:r>
        <w:rPr/>
        <w:t xml:space="preserve">; </w:t>
      </w:r>
    </w:p>
    <w:p>
      <w:pPr>
        <w:pStyle w:val="normal"/>
        <w:numPr>
          <w:ilvl w:val="0"/>
          <w:numId w:val="2"/>
        </w:numPr>
        <w:spacing w:before="0" w:after="5" w:line="247" w:lineRule="auto"/>
        <w:ind w:left="1750" w:right="598" w:hanging="360"/>
      </w:pPr>
      <w:r>
        <w:rPr/>
        <w:t xml:space="preserve">l‟atténuation de la dégradation des ressources naturelles et de l‟environnement</w:t>
      </w:r>
      <w:r>
        <w:rPr/>
        <w:t xml:space="preserve">; </w:t>
      </w:r>
    </w:p>
    <w:p>
      <w:pPr>
        <w:pStyle w:val="normal"/>
        <w:numPr>
          <w:ilvl w:val="0"/>
          <w:numId w:val="2"/>
        </w:numPr>
        <w:spacing w:before="0" w:after="5" w:line="247" w:lineRule="auto"/>
        <w:ind w:left="1750" w:right="598" w:hanging="360"/>
      </w:pPr>
      <w:r>
        <w:rPr/>
        <w:t xml:space="preserve">l‟adaptation à la variabilité</w:t>
      </w:r>
      <w:r>
        <w:rPr/>
        <w:t xml:space="preserve"> </w:t>
      </w:r>
      <w:r>
        <w:rPr/>
        <w:t xml:space="preserve">et aux changements climatiques</w:t>
      </w:r>
      <w:r>
        <w:rPr/>
        <w:t xml:space="preserve">; </w:t>
      </w:r>
    </w:p>
    <w:p>
      <w:pPr>
        <w:pStyle w:val="normal"/>
        <w:numPr>
          <w:ilvl w:val="0"/>
          <w:numId w:val="2"/>
        </w:numPr>
        <w:spacing w:before="0" w:after="5" w:line="247" w:lineRule="auto"/>
        <w:ind w:left="1750" w:right="598" w:hanging="360"/>
      </w:pPr>
      <w:r>
        <w:rPr/>
        <w:t xml:space="preserve">la promotion des filières d‟assainissement et des aménagements paysagers et fauniques;</w:t>
      </w:r>
      <w:r>
        <w:rPr/>
        <w:t xml:space="preserve"> </w:t>
      </w:r>
    </w:p>
    <w:p>
      <w:pPr>
        <w:pStyle w:val="normal"/>
        <w:numPr>
          <w:ilvl w:val="0"/>
          <w:numId w:val="2"/>
        </w:numPr>
        <w:spacing w:before="0" w:after="5" w:line="247" w:lineRule="auto"/>
        <w:ind w:left="1750" w:right="598" w:hanging="360"/>
      </w:pPr>
      <w:r>
        <w:rPr/>
        <w:t xml:space="preserve">la promotion des énergies de substitution, des techniques et technologies d'économie d'énergie</w:t>
      </w:r>
      <w:r>
        <w:rPr/>
        <w:t xml:space="preserve">; </w:t>
      </w:r>
    </w:p>
    <w:p>
      <w:pPr>
        <w:pStyle w:val="normal"/>
        <w:numPr>
          <w:ilvl w:val="0"/>
          <w:numId w:val="2"/>
        </w:numPr>
        <w:spacing w:before="0" w:after="5" w:line="247" w:lineRule="auto"/>
        <w:ind w:left="1750" w:right="598" w:hanging="360"/>
      </w:pPr>
      <w:r>
        <w:rPr/>
        <w:t xml:space="preserve">la</w:t>
      </w:r>
      <w:r>
        <w:rPr/>
        <w:t xml:space="preserve"> </w:t>
      </w:r>
      <w:r>
        <w:rPr/>
        <w:t xml:space="preserve">promotion de l'éducation environnementale et de l'écocitoyenneté</w:t>
      </w:r>
      <w:r>
        <w:rPr/>
        <w:t xml:space="preserve">; </w:t>
      </w:r>
    </w:p>
    <w:p>
      <w:pPr>
        <w:pStyle w:val="normal"/>
        <w:numPr>
          <w:ilvl w:val="0"/>
          <w:numId w:val="2"/>
        </w:numPr>
        <w:spacing w:before="0" w:after="5" w:line="247" w:lineRule="auto"/>
        <w:ind w:left="1750" w:right="598" w:hanging="360"/>
      </w:pPr>
      <w:r>
        <w:rPr/>
        <w:t xml:space="preserve">l‟appui à la recherche environnementale.</w:t>
      </w:r>
      <w:r>
        <w:rPr/>
        <w:t xml:space="preserve"> </w:t>
      </w:r>
    </w:p>
    <w:p>
      <w:pPr>
        <w:pStyle w:val="normal"/>
        <w:numPr>
          <w:ilvl w:val="0"/>
          <w:numId w:val="3"/>
        </w:numPr>
        <w:spacing w:before="0" w:after="5" w:line="247" w:lineRule="auto"/>
        <w:ind w:left="1390" w:right="598" w:hanging="360"/>
      </w:pPr>
      <w:r>
        <w:rPr/>
        <w:t xml:space="preserve">Le Programme National du secteur rural (PNSR) en cours de formulation  opérationnalisera</w:t>
      </w:r>
      <w:r>
        <w:rPr/>
        <w:t xml:space="preserve"> </w:t>
      </w:r>
      <w:r>
        <w:rPr/>
        <w:t xml:space="preserve">la SCADD</w:t>
      </w:r>
      <w:r>
        <w:rPr/>
        <w:t xml:space="preserve"> </w:t>
      </w:r>
      <w:r>
        <w:rPr/>
        <w:t xml:space="preserve">dans</w:t>
      </w:r>
      <w:r>
        <w:rPr/>
        <w:t xml:space="preserve"> </w:t>
      </w:r>
      <w:r>
        <w:rPr/>
        <w:t xml:space="preserve">le secteur rural</w:t>
      </w:r>
      <w:r>
        <w:rPr/>
        <w:t xml:space="preserve">.</w:t>
      </w:r>
      <w:r>
        <w:rPr>
          <w:sz w:val="28"/>
        </w:rPr>
        <w:t xml:space="preserve"> </w:t>
      </w:r>
      <w:r>
        <w:rPr/>
        <w:t xml:space="preserve">Son objectif est d‟orienter la déclinaison des mandats ministériels et la formulation des projets, programmes et opérations de manière à ce qu‟elles répondent aux besoins de développement économique, social et culturel des acteurs ruraux burkinabè</w:t>
      </w:r>
      <w:r>
        <w:rPr/>
        <w:t xml:space="preserve">.</w:t>
      </w:r>
      <w:r>
        <w:rPr/>
        <w:t xml:space="preserve">  </w:t>
      </w:r>
    </w:p>
    <w:p>
      <w:pPr>
        <w:pStyle w:val="normal"/>
        <w:numPr>
          <w:ilvl w:val="0"/>
          <w:numId w:val="3"/>
        </w:numPr>
        <w:spacing w:before="0" w:after="5" w:line="247" w:lineRule="auto"/>
        <w:ind w:left="1390" w:right="598" w:hanging="360"/>
      </w:pPr>
      <w:r>
        <w:rPr/>
        <w:t xml:space="preserve">Le Burkina s‟est doté d‟une Politique Nationale en matière d‟Environnement</w:t>
      </w:r>
      <w:r>
        <w:rPr/>
        <w:t xml:space="preserve"> </w:t>
      </w:r>
      <w:r>
        <w:rPr/>
        <w:t xml:space="preserve">(PNE), adopté le 30 mars 2007 et d‟un Programme décennal d‟Action du Secteur de l‟Environnement et du Cadre de Vie à l‟horizon 2015 (PDA/ECV).</w:t>
      </w:r>
      <w:r>
        <w:rPr/>
        <w:t xml:space="preserve"> </w:t>
      </w:r>
      <w:r>
        <w:rPr/>
        <w:t xml:space="preserve">Ces documents cadres doivent servir de base à l‟élaboration de plans d‟action et du Cadre de Dépenses à Moyen Terme (CDMT)</w:t>
      </w:r>
      <w:r>
        <w:rPr/>
        <w:t xml:space="preserve"> </w:t>
      </w:r>
      <w:r>
        <w:rPr/>
        <w:t xml:space="preserve">dans le cadre du PNSR</w:t>
      </w:r>
      <w:r>
        <w:rPr/>
        <w:t xml:space="preserve">. </w:t>
      </w:r>
      <w:r>
        <w:rPr/>
        <w:t xml:space="preserve">L‟objectif global du</w:t>
      </w:r>
      <w:r>
        <w:rPr/>
        <w:t xml:space="preserve"> </w:t>
      </w:r>
      <w:r>
        <w:rPr/>
        <w:t xml:space="preserve">PDA/ECV est</w:t>
      </w:r>
      <w:r>
        <w:rPr/>
        <w:t xml:space="preserve"> </w:t>
      </w:r>
      <w:r>
        <w:rPr/>
        <w:t xml:space="preserve">de réduire la tendance à la dégradation de l‟environnement</w:t>
      </w:r>
      <w:r>
        <w:rPr/>
        <w:t xml:space="preserve">, </w:t>
      </w:r>
      <w:r>
        <w:rPr/>
        <w:t xml:space="preserve">d‟améliorer la contribution du secteur de l‟environnement à l‟économie nationale et au bien être soci</w:t>
      </w:r>
      <w:r>
        <w:rPr/>
        <w:t xml:space="preserve">o - </w:t>
      </w:r>
      <w:r>
        <w:rPr/>
        <w:t xml:space="preserve">économique des populations.</w:t>
      </w:r>
      <w:r>
        <w:rPr/>
        <w:t xml:space="preserve"> </w:t>
      </w:r>
    </w:p>
    <w:p>
      <w:pPr>
        <w:spacing w:before="0" w:after="0" w:line="259" w:lineRule="auto"/>
        <w:ind w:left="1390" w:firstLine="0"/>
        <w:jc w:val="left"/>
      </w:pPr>
      <w:r>
        <w:rPr>
          <w:rFonts w:cs="Times New Roman" w:hAnsi="Times New Roman" w:eastAsia="Times New Roman" w:ascii="Times New Roman"/>
          <w:b w:val="1"/>
        </w:rPr>
        <w:t xml:space="preserve"> </w:t>
      </w:r>
    </w:p>
    <w:p>
      <w:pPr>
        <w:pStyle w:val="normal"/>
        <w:numPr>
          <w:ilvl w:val="0"/>
          <w:numId w:val="3"/>
        </w:numPr>
        <w:spacing w:before="0" w:after="5" w:line="247" w:lineRule="auto"/>
        <w:ind w:left="1390" w:right="598" w:hanging="360"/>
      </w:pPr>
      <w:r>
        <w:rPr>
          <w:rFonts w:cs="Times New Roman" w:hAnsi="Times New Roman" w:eastAsia="Times New Roman" w:ascii="Times New Roman"/>
          <w:b w:val="1"/>
        </w:rPr>
        <w:t xml:space="preserve">Un processus de décentralisation en phase d’approfondissement</w:t>
      </w:r>
      <w:r>
        <w:rPr/>
        <w:t xml:space="preserve">. </w:t>
      </w:r>
      <w:r>
        <w:rPr/>
        <w:t xml:space="preserve">Le Code Général des Collectivités adopté en décembre 2004</w:t>
      </w:r>
      <w:r>
        <w:rPr/>
        <w:t xml:space="preserve"> </w:t>
      </w:r>
      <w:r>
        <w:rPr/>
        <w:t xml:space="preserve">et révisé en </w:t>
      </w:r>
      <w:r>
        <w:rPr/>
        <w:t xml:space="preserve">2006 </w:t>
      </w:r>
      <w:r>
        <w:rPr/>
        <w:t xml:space="preserve">consacre le droit des collectivités territoriales (régions et communes) à s‟administrer librement et à gérer des affaires propres en vue de promouvoir le développement à la base et de renforcer la gouvernance locale</w:t>
      </w:r>
      <w:r>
        <w:rPr/>
        <w:t xml:space="preserve">. </w:t>
      </w:r>
      <w:r>
        <w:rPr/>
        <w:t xml:space="preserve">Les</w:t>
      </w:r>
      <w:r>
        <w:rPr/>
        <w:t xml:space="preserve"> </w:t>
      </w:r>
      <w:r>
        <w:rPr/>
        <w:t xml:space="preserve">compétences reconnues aux collectivités territoriales par le Code Général des Collectivités concernent entre autres la planification locale, le développement économique, la gestion de l‟environnement et des ressources naturelles, l‟aménagement du territoire, la gestion du foncier,</w:t>
      </w:r>
      <w:r>
        <w:rPr/>
        <w:t xml:space="preserve"> </w:t>
      </w:r>
      <w:r>
        <w:rPr/>
        <w:t xml:space="preserve">la santé et l‟hygiène, l‟eau et l‟électricité.</w:t>
      </w:r>
      <w:r>
        <w:rPr/>
        <w:t xml:space="preserve"> </w:t>
      </w:r>
      <w:r>
        <w:rPr/>
        <w:t xml:space="preserve">A ce jour les matières de compétences effectivement transférées aux collectivités concernent</w:t>
      </w:r>
      <w:r>
        <w:rPr/>
        <w:t xml:space="preserve"> </w:t>
      </w:r>
      <w:r>
        <w:rPr/>
        <w:t xml:space="preserve">les domaines de la</w:t>
      </w:r>
      <w:r>
        <w:rPr/>
        <w:t xml:space="preserve"> </w:t>
      </w:r>
      <w:r>
        <w:rPr/>
        <w:t xml:space="preserve">santé, de l‟éducation préscolaire, de l‟enseignement primaire, de l‟approvisionnement en eau potable et assainissement, de la culture, de la jeunesse, des sports et loisirs. Le domaine de la gestion des ressources naturelles attend encore d‟être transféré</w:t>
      </w:r>
      <w:r>
        <w:rPr/>
        <w:t xml:space="preserve">.</w:t>
      </w:r>
      <w:r>
        <w:rPr>
          <w:rFonts w:cs="Times New Roman" w:hAnsi="Times New Roman" w:eastAsia="Times New Roman" w:ascii="Times New Roman"/>
          <w:b w:val="1"/>
        </w:rPr>
        <w:t xml:space="preserve"> </w:t>
      </w:r>
    </w:p>
    <w:p>
      <w:pPr>
        <w:pStyle w:val="normal"/>
        <w:spacing w:before="0" w:after="5" w:line="247" w:lineRule="auto"/>
        <w:ind w:left="1400" w:right="598"/>
      </w:pPr>
      <w:r>
        <w:rPr/>
        <w:t xml:space="preserve">La loi portant régime foncier en milieu rural confère également aux collectivités et aux communautés</w:t>
      </w:r>
      <w:r>
        <w:rPr/>
        <w:t xml:space="preserve">,</w:t>
      </w:r>
      <w:r>
        <w:rPr/>
        <w:t xml:space="preserve"> </w:t>
      </w:r>
      <w:r>
        <w:rPr/>
        <w:t xml:space="preserve">des prérogatives</w:t>
      </w:r>
      <w:r>
        <w:rPr/>
        <w:t xml:space="preserve"> </w:t>
      </w:r>
      <w:r>
        <w:rPr/>
        <w:t xml:space="preserve">pour préciser des dispositions utiles à la gestion durable des ressources naturelles à travers les chartes foncières locales.</w:t>
      </w:r>
      <w:r>
        <w:rPr/>
        <w:t xml:space="preserve"> </w:t>
      </w:r>
    </w:p>
    <w:p>
      <w:pPr>
        <w:pStyle w:val="normal"/>
        <w:spacing w:before="0" w:after="5" w:line="247" w:lineRule="auto"/>
        <w:ind w:left="1400" w:right="598"/>
      </w:pPr>
      <w:r>
        <w:rPr/>
        <w:t xml:space="preserve">Le parachèvement du transfert des compétences aux collectivités et la mise en place du cadre réglementaire pour l‟application de la loi portant régime foncier rural sont</w:t>
      </w:r>
      <w:r>
        <w:rPr/>
        <w:t xml:space="preserve"> </w:t>
      </w:r>
      <w:r>
        <w:rPr/>
        <w:t xml:space="preserve">envisagés</w:t>
      </w:r>
      <w:r>
        <w:rPr/>
        <w:t xml:space="preserve"> </w:t>
      </w:r>
      <w:r>
        <w:rPr/>
        <w:t xml:space="preserve">au cours des prochaines années. Ce transfert de compétences intervient dans un</w:t>
      </w:r>
      <w:r>
        <w:rPr/>
        <w:t xml:space="preserve"> </w:t>
      </w:r>
      <w:r>
        <w:rPr/>
        <w:t xml:space="preserve">contexte où les communautés</w:t>
      </w:r>
      <w:r>
        <w:rPr/>
        <w:t xml:space="preserve"> </w:t>
      </w:r>
      <w:r>
        <w:rPr/>
        <w:t xml:space="preserve">dans certaines régions ont des expériences réussies</w:t>
      </w:r>
      <w:r>
        <w:rPr/>
        <w:t xml:space="preserve"> </w:t>
      </w:r>
      <w:r>
        <w:rPr/>
        <w:t xml:space="preserve">de gestion de ressources naturelles</w:t>
      </w:r>
      <w:r>
        <w:rPr/>
        <w:t xml:space="preserve"> </w:t>
      </w:r>
      <w:r>
        <w:rPr/>
        <w:t xml:space="preserve">grâce à </w:t>
      </w:r>
      <w:r>
        <w:rPr/>
        <w:t xml:space="preserve">l‟appui des projets et programmes de développement. Le</w:t>
      </w:r>
      <w:r>
        <w:rPr/>
        <w:t xml:space="preserve"> </w:t>
      </w:r>
      <w:r>
        <w:rPr/>
        <w:t xml:space="preserve">succès du transfert prévu de compétences aux collectivités dépendra de la capacité de l‟Etat Local à  assumer ses nouvelles prérogatives tout en préservant les acquis et intérêts des communautés qui ont déjà établi des mécanismes efficaces de gestion des ressources naturelles.</w:t>
      </w:r>
      <w:r>
        <w:rPr/>
        <w:t xml:space="preserve"> </w:t>
      </w:r>
    </w:p>
    <w:p>
      <w:pPr>
        <w:pStyle w:val="normal"/>
        <w:spacing w:before="0" w:after="5" w:line="247" w:lineRule="auto"/>
        <w:ind w:left="1400" w:right="598"/>
      </w:pPr>
      <w:r>
        <w:rPr/>
        <w:t xml:space="preserve">L‟approfondissement de la décentralisation passera en outre par le renforcement des</w:t>
      </w:r>
      <w:r>
        <w:rPr/>
        <w:t xml:space="preserve"> </w:t>
      </w:r>
      <w:r>
        <w:rPr/>
        <w:t xml:space="preserve">mécanismes de financement (y compris les réformes fiscales), le développement des</w:t>
      </w:r>
      <w:r>
        <w:rPr/>
        <w:t xml:space="preserve"> </w:t>
      </w:r>
      <w:r>
        <w:rPr/>
        <w:t xml:space="preserve">capacités des services déconcentrés de l‟Etat et des prestataires privés à assurer un appui</w:t>
      </w:r>
      <w:r>
        <w:rPr/>
        <w:t xml:space="preserve">-</w:t>
      </w:r>
      <w:r>
        <w:rPr/>
        <w:t xml:space="preserve">conseil efficace et le renforcement des capacités de la société civile à influer les orientations de développement local.</w:t>
      </w:r>
      <w:r>
        <w:rPr/>
        <w:t xml:space="preserve"> </w:t>
      </w:r>
    </w:p>
    <w:p>
      <w:pPr>
        <w:spacing w:before="0" w:after="0" w:line="259" w:lineRule="auto"/>
        <w:ind w:left="1390" w:firstLine="0"/>
        <w:jc w:val="left"/>
      </w:pPr>
      <w:r>
        <w:rPr/>
        <w:t xml:space="preserve">  </w:t>
      </w:r>
    </w:p>
    <w:p>
      <w:pPr>
        <w:pStyle w:val="normal"/>
        <w:numPr>
          <w:ilvl w:val="0"/>
          <w:numId w:val="3"/>
        </w:numPr>
        <w:spacing w:before="0" w:after="5" w:line="247" w:lineRule="auto"/>
        <w:ind w:left="1390" w:right="598" w:hanging="360"/>
      </w:pPr>
      <w:r>
        <w:rPr/>
        <w:t xml:space="preserve">Malgré le rôle important que les régions et les communes</w:t>
      </w:r>
      <w:r>
        <w:rPr/>
        <w:t xml:space="preserve"> </w:t>
      </w:r>
      <w:r>
        <w:rPr/>
        <w:t xml:space="preserve">sont appelées à jouer dans la gouvernance de l‟environnement, les mécanismes et actions appropriés</w:t>
      </w:r>
      <w:r>
        <w:rPr/>
        <w:t xml:space="preserve"> </w:t>
      </w:r>
      <w:r>
        <w:rPr/>
        <w:t xml:space="preserve">pour renforcer leurs capacités à</w:t>
      </w:r>
      <w:r>
        <w:rPr/>
        <w:t xml:space="preserve"> </w:t>
      </w:r>
      <w:r>
        <w:rPr/>
        <w:t xml:space="preserve">relever ces défis</w:t>
      </w:r>
      <w:r>
        <w:rPr/>
        <w:t xml:space="preserve"> </w:t>
      </w:r>
      <w:r>
        <w:rPr/>
        <w:t xml:space="preserve">sont encore timides</w:t>
      </w:r>
      <w:r>
        <w:rPr/>
        <w:t xml:space="preserve">. </w:t>
      </w:r>
      <w:r>
        <w:rPr/>
        <w:t xml:space="preserve">Cette situation fragilise</w:t>
      </w:r>
      <w:r>
        <w:rPr/>
        <w:t xml:space="preserve"> </w:t>
      </w:r>
      <w:r>
        <w:rPr/>
        <w:t xml:space="preserve">l‟approche participative qui devait</w:t>
      </w:r>
      <w:r>
        <w:rPr/>
        <w:t xml:space="preserve"> </w:t>
      </w:r>
      <w:r>
        <w:rPr/>
        <w:t xml:space="preserve">être l‟un des piliers de</w:t>
      </w:r>
      <w:r>
        <w:rPr/>
        <w:t xml:space="preserve"> </w:t>
      </w:r>
      <w:r>
        <w:rPr/>
        <w:t xml:space="preserve">la gouvernance de l‟environnement</w:t>
      </w:r>
      <w:r>
        <w:rPr/>
        <w:t xml:space="preserve"> </w:t>
      </w:r>
      <w:r>
        <w:rPr/>
        <w:t xml:space="preserve">et limite</w:t>
      </w:r>
      <w:r>
        <w:rPr/>
        <w:t xml:space="preserve"> </w:t>
      </w:r>
      <w:r>
        <w:rPr/>
        <w:t xml:space="preserve">notamment</w:t>
      </w:r>
      <w:r>
        <w:rPr/>
        <w:t xml:space="preserve"> </w:t>
      </w:r>
      <w:r>
        <w:rPr/>
        <w:t xml:space="preserve">l‟impact des stratégies d‟adaptation aux changements climatiques</w:t>
      </w:r>
      <w:r>
        <w:rPr/>
        <w:t xml:space="preserve">.</w:t>
      </w:r>
      <w:r>
        <w:rPr>
          <w:rFonts w:cs="Times New Roman" w:hAnsi="Times New Roman" w:eastAsia="Times New Roman" w:ascii="Times New Roman"/>
          <w:b w:val="1"/>
        </w:rPr>
        <w:t xml:space="preserve"> </w:t>
      </w:r>
    </w:p>
    <w:p>
      <w:pPr>
        <w:spacing w:before="0" w:after="0" w:line="259" w:lineRule="auto"/>
        <w:ind w:left="1390" w:firstLine="0"/>
        <w:jc w:val="left"/>
      </w:pPr>
      <w:r>
        <w:rPr/>
        <w:t xml:space="preserve"> </w:t>
      </w:r>
    </w:p>
    <w:p>
      <w:pPr>
        <w:spacing w:before="0" w:after="0" w:line="259" w:lineRule="auto"/>
        <w:ind w:left="725" w:firstLine="0"/>
        <w:jc w:val="left"/>
      </w:pPr>
      <w:r>
        <w:rPr>
          <w:rFonts w:cs="Times New Roman" w:hAnsi="Times New Roman" w:eastAsia="Times New Roman" w:ascii="Times New Roman"/>
          <w:b w:val="1"/>
          <w:sz w:val="24"/>
        </w:rPr>
        <w:t xml:space="preserve"> </w:t>
      </w:r>
    </w:p>
    <w:p>
      <w:pPr>
        <w:pStyle w:val="heading3"/>
        <w:spacing w:before="0" w:after="10" w:line="249" w:lineRule="auto"/>
        <w:ind w:left="329"/>
      </w:pPr>
      <w:r>
        <w:rPr/>
        <w:t xml:space="preserve">1.2.</w:t>
      </w:r>
      <w:r>
        <w:rPr>
          <w:rFonts w:cs="Arial" w:hAnsi="Arial" w:eastAsia="Arial" w:ascii="Arial"/>
        </w:rPr>
        <w:t xml:space="preserve"> </w:t>
      </w:r>
      <w:r>
        <w:rPr/>
        <w:t xml:space="preserve">Les principales</w:t>
      </w:r>
      <w:r>
        <w:rPr/>
        <w:t xml:space="preserve"> </w:t>
      </w:r>
      <w:r>
        <w:rPr/>
        <w:t xml:space="preserve">initiatives nationales</w:t>
      </w:r>
      <w:r>
        <w:rPr/>
        <w:t xml:space="preserve"> </w:t>
      </w:r>
      <w:r>
        <w:rPr/>
        <w:t xml:space="preserve">soutenues par les PTFs</w:t>
      </w:r>
      <w:r>
        <w:rPr/>
        <w:t xml:space="preserve">  </w:t>
      </w:r>
    </w:p>
    <w:p>
      <w:pPr>
        <w:spacing w:before="0" w:after="82" w:line="259" w:lineRule="auto"/>
        <w:ind w:left="1040" w:firstLine="0"/>
        <w:jc w:val="left"/>
      </w:pPr>
      <w:r>
        <w:rPr>
          <w:color w:val="ff0000"/>
          <w:sz w:val="16"/>
        </w:rPr>
        <w:t xml:space="preserve"> </w:t>
      </w:r>
    </w:p>
    <w:p>
      <w:pPr>
        <w:pStyle w:val="heading4"/>
        <w:spacing w:before="0" w:after="0" w:line="259" w:lineRule="auto"/>
        <w:ind w:left="314"/>
      </w:pPr>
      <w:r>
        <w:rPr/>
        <w:t xml:space="preserve">Dans le domaine du mainstreaming de l‟environnement</w:t>
      </w:r>
      <w:r>
        <w:rPr>
          <w:u w:val="none" w:color="000000"/>
        </w:rPr>
        <w:t xml:space="preserve"> </w:t>
      </w:r>
    </w:p>
    <w:p>
      <w:pPr>
        <w:pStyle w:val="normal"/>
        <w:numPr>
          <w:ilvl w:val="0"/>
          <w:numId w:val="4"/>
        </w:numPr>
        <w:spacing w:before="0" w:after="5" w:line="247" w:lineRule="auto"/>
        <w:ind w:left="1390" w:right="598" w:hanging="360"/>
      </w:pPr>
      <w:r>
        <w:rPr/>
        <w:t xml:space="preserve">L‟appui</w:t>
      </w:r>
      <w:r>
        <w:rPr/>
        <w:t xml:space="preserve"> </w:t>
      </w:r>
      <w:r>
        <w:rPr/>
        <w:t xml:space="preserve">actuel du PNUD au mainstreaming de l‟environnement et au renforcement des capacités se concrétise à travers le projet Initiative Pauvreté</w:t>
      </w:r>
      <w:r>
        <w:rPr/>
        <w:t xml:space="preserve"> </w:t>
      </w:r>
      <w:r>
        <w:rPr/>
        <w:t xml:space="preserve">Environnement (IPE)</w:t>
      </w:r>
      <w:r>
        <w:rPr/>
        <w:t xml:space="preserve"> </w:t>
      </w:r>
      <w:r>
        <w:rPr/>
        <w:t xml:space="preserve">qui est une initiative conjointe PNUD</w:t>
      </w:r>
      <w:r>
        <w:rPr/>
        <w:t xml:space="preserve">-</w:t>
      </w:r>
      <w:r>
        <w:rPr/>
        <w:t xml:space="preserve">PNUE pour la période 2010</w:t>
      </w:r>
      <w:r>
        <w:rPr/>
        <w:t xml:space="preserve">-</w:t>
      </w:r>
      <w:r>
        <w:rPr/>
        <w:t xml:space="preserve">2012.</w:t>
      </w:r>
      <w:r>
        <w:rPr/>
        <w:t xml:space="preserve"> </w:t>
      </w:r>
      <w:r>
        <w:rPr/>
        <w:t xml:space="preserve">L‟objectif global du projet est d‟institutionnaliser l‟intégration des liens pauvreté</w:t>
      </w:r>
      <w:r>
        <w:rPr/>
        <w:t xml:space="preserve">-</w:t>
      </w:r>
      <w:r>
        <w:rPr/>
        <w:t xml:space="preserve">environnement dans les processus de planification et de budgétisation. La stratégie d‟intervention de l‟IPE Burkina Faso consiste à collaborer avec les animateurs du dispositif d‟élaboration et de mise en œuvre de la SCADD pour assurer les analyses et notes stratégiques pertinentes, mettre à disposition les outils et instruments pour la prise en compte des liens Pauvreté</w:t>
      </w:r>
      <w:r>
        <w:rPr/>
        <w:t xml:space="preserve">-</w:t>
      </w:r>
      <w:r>
        <w:rPr/>
        <w:t xml:space="preserve">environnement. Grâce aux activités de ce projet, le </w:t>
      </w:r>
    </w:p>
    <w:p>
      <w:pPr>
        <w:pStyle w:val="normal"/>
        <w:spacing w:before="0" w:after="36" w:line="247" w:lineRule="auto"/>
        <w:ind w:left="1400" w:right="598"/>
      </w:pPr>
      <w:r>
        <w:rPr/>
        <w:t xml:space="preserve">Ministère de l‟Economie et des Finances a élaboré un guide d‟intégration des défis environnementaux dans les politiques sectorielles et l‟initiative </w:t>
      </w:r>
      <w:r>
        <w:rPr/>
        <w:t xml:space="preserve">« </w:t>
      </w:r>
      <w:r>
        <w:rPr/>
        <w:t xml:space="preserve">Economie Verte du Burkina</w:t>
      </w:r>
      <w:r>
        <w:rPr/>
        <w:t xml:space="preserve"> » </w:t>
      </w:r>
      <w:r>
        <w:rPr/>
        <w:t xml:space="preserve">a été lancée.</w:t>
      </w:r>
      <w:r>
        <w:rPr/>
        <w:t xml:space="preserve"> </w:t>
      </w:r>
    </w:p>
    <w:p>
      <w:pPr>
        <w:pStyle w:val="normal"/>
        <w:numPr>
          <w:ilvl w:val="0"/>
          <w:numId w:val="4"/>
        </w:numPr>
        <w:spacing w:before="0" w:after="5" w:line="247" w:lineRule="auto"/>
        <w:ind w:left="1390" w:right="598" w:hanging="360"/>
      </w:pPr>
      <w:r>
        <w:rPr/>
        <w:t xml:space="preserve">Les résultats de l‟auto</w:t>
      </w:r>
      <w:r>
        <w:rPr/>
        <w:t xml:space="preserve">-</w:t>
      </w:r>
      <w:r>
        <w:rPr/>
        <w:t xml:space="preserve">évaluation des capacités à renforcer pour la gestion de l‟environnement (ANCR) réalisée en août 2007, par le SP CONEDD avec l‟appui du PNUD et du FEM</w:t>
      </w:r>
      <w:r>
        <w:rPr/>
        <w:t xml:space="preserve"> </w:t>
      </w:r>
      <w:r>
        <w:rPr/>
        <w:t xml:space="preserve">ont permis d‟élaborer le programme de renforcement des capacités nationales dans le domaine de l‟environnement. Un des acquis importants</w:t>
      </w:r>
      <w:r>
        <w:rPr/>
        <w:t xml:space="preserve"> </w:t>
      </w:r>
      <w:r>
        <w:rPr/>
        <w:t xml:space="preserve">de ce programme est la mise en place du</w:t>
      </w:r>
      <w:r>
        <w:rPr/>
        <w:t xml:space="preserve"> </w:t>
      </w:r>
      <w:r>
        <w:rPr/>
        <w:t xml:space="preserve">réseau d‟informations</w:t>
      </w:r>
      <w:r>
        <w:rPr/>
        <w:t xml:space="preserve"> </w:t>
      </w:r>
      <w:r>
        <w:rPr/>
        <w:t xml:space="preserve">et de documentation environnementales du Burkina Faso. </w:t>
      </w:r>
      <w:r>
        <w:rPr/>
        <w:t xml:space="preserve"> </w:t>
      </w:r>
    </w:p>
    <w:p>
      <w:pPr>
        <w:spacing w:before="0" w:after="19" w:line="259" w:lineRule="auto"/>
        <w:ind w:left="319" w:firstLine="0"/>
        <w:jc w:val="left"/>
      </w:pPr>
      <w:r>
        <w:rPr/>
        <w:t xml:space="preserve"> </w:t>
      </w:r>
    </w:p>
    <w:p>
      <w:pPr>
        <w:pStyle w:val="heading4"/>
        <w:spacing w:before="0" w:after="0" w:line="259" w:lineRule="auto"/>
        <w:ind w:left="314"/>
      </w:pPr>
      <w:r>
        <w:rPr/>
        <w:t xml:space="preserve">Dans le domaine de l‟adaptation et de l‟atténuation</w:t>
      </w:r>
      <w:r>
        <w:rPr>
          <w:u w:val="none" w:color="000000"/>
        </w:rPr>
        <w:t xml:space="preserve"> </w:t>
      </w:r>
    </w:p>
    <w:p>
      <w:pPr>
        <w:spacing w:before="0" w:after="4" w:line="259" w:lineRule="auto"/>
        <w:ind w:left="319" w:firstLine="0"/>
        <w:jc w:val="left"/>
      </w:pPr>
      <w:r>
        <w:rPr/>
        <w:t xml:space="preserve"> </w:t>
      </w:r>
    </w:p>
    <w:p>
      <w:pPr>
        <w:pStyle w:val="normal"/>
        <w:numPr>
          <w:ilvl w:val="0"/>
          <w:numId w:val="5"/>
        </w:numPr>
        <w:spacing w:before="0" w:after="5" w:line="247" w:lineRule="auto"/>
        <w:ind w:left="1390" w:right="598" w:hanging="360"/>
      </w:pPr>
      <w:r>
        <w:rPr/>
        <w:t xml:space="preserve">Le</w:t>
      </w:r>
      <w:r>
        <w:rPr/>
        <w:t xml:space="preserve"> </w:t>
      </w:r>
      <w:r>
        <w:rPr/>
        <w:t xml:space="preserve">Burkina Faso a pu mobiliser</w:t>
      </w:r>
      <w:r>
        <w:rPr/>
        <w:t xml:space="preserve"> </w:t>
      </w:r>
      <w:r>
        <w:rPr/>
        <w:t xml:space="preserve">avec</w:t>
      </w:r>
      <w:r>
        <w:rPr/>
        <w:t xml:space="preserve"> </w:t>
      </w:r>
      <w:r>
        <w:rPr/>
        <w:t xml:space="preserve">l‟appui du PNUD, les financements pour la mise en œuvre de la plupart des interventions prioritaires identifiés dans le PANA</w:t>
      </w:r>
      <w:r>
        <w:rPr/>
        <w:t xml:space="preserve"> </w:t>
      </w:r>
      <w:r>
        <w:rPr/>
        <w:t xml:space="preserve">à travers les trois projets suivants</w:t>
      </w:r>
      <w:r>
        <w:rPr/>
        <w:t xml:space="preserve"> </w:t>
      </w:r>
      <w:r>
        <w:rPr/>
        <w:t xml:space="preserve">:</w:t>
      </w:r>
      <w:r>
        <w:rPr/>
        <w:t xml:space="preserve">  </w:t>
      </w:r>
    </w:p>
    <w:p>
      <w:pPr>
        <w:pStyle w:val="normal"/>
        <w:numPr>
          <w:ilvl w:val="1"/>
          <w:numId w:val="5"/>
        </w:numPr>
        <w:spacing w:before="0" w:after="66" w:line="247" w:lineRule="auto"/>
        <w:ind w:left="1750" w:right="598" w:hanging="360"/>
      </w:pPr>
      <w:r>
        <w:rPr/>
        <w:t xml:space="preserve">Renforcement des capacités pour l‟adaptation et pour la réduction de la vulnérabilité aux changements climatiques au Burkina Faso, dénommé PANA</w:t>
      </w:r>
      <w:r>
        <w:rPr/>
        <w:t xml:space="preserve">-</w:t>
      </w:r>
      <w:r>
        <w:rPr/>
        <w:t xml:space="preserve">BKF</w:t>
      </w:r>
      <w:r>
        <w:rPr/>
        <w:t xml:space="preserve">-</w:t>
      </w:r>
      <w:r>
        <w:rPr/>
        <w:t xml:space="preserve">PNUD/FEM, du Fonds pour l‟Environnement Mondial (FEM).</w:t>
      </w:r>
      <w:r>
        <w:rPr/>
        <w:t xml:space="preserve"> </w:t>
      </w:r>
    </w:p>
    <w:p>
      <w:pPr>
        <w:pStyle w:val="normal"/>
        <w:numPr>
          <w:ilvl w:val="1"/>
          <w:numId w:val="5"/>
        </w:numPr>
        <w:spacing w:before="0" w:after="26" w:line="247" w:lineRule="auto"/>
        <w:ind w:left="1750" w:right="598" w:hanging="360"/>
      </w:pPr>
      <w:r>
        <w:rPr/>
        <w:t xml:space="preserve">Adaptation aux changements climatiques en vue de l‟amélioration de la sécurité humaine du Burkina Faso (PANA</w:t>
      </w:r>
      <w:r>
        <w:rPr/>
        <w:t xml:space="preserve">-</w:t>
      </w:r>
      <w:r>
        <w:rPr/>
        <w:t xml:space="preserve">BKF</w:t>
      </w:r>
      <w:r>
        <w:rPr/>
        <w:t xml:space="preserve">-</w:t>
      </w:r>
      <w:r>
        <w:rPr/>
        <w:t xml:space="preserve">PNUD/DANIDA) financé par le Royaume du Danemark; ce projet comporte une composante destinée à la société civile qui est exécutée par l‟UICN.</w:t>
      </w:r>
      <w:r>
        <w:rPr/>
        <w:t xml:space="preserve"> </w:t>
      </w:r>
    </w:p>
    <w:p>
      <w:pPr>
        <w:pStyle w:val="normal"/>
        <w:numPr>
          <w:ilvl w:val="1"/>
          <w:numId w:val="5"/>
        </w:numPr>
        <w:spacing w:before="0" w:after="56" w:line="247" w:lineRule="auto"/>
        <w:ind w:left="1750" w:right="598" w:hanging="360"/>
      </w:pPr>
      <w:r>
        <w:rPr/>
        <w:t xml:space="preserve">Renforcement des capacités pour une meilleure prise en compte des préoccupations liées à</w:t>
      </w:r>
      <w:r>
        <w:rPr/>
        <w:t xml:space="preserve"> </w:t>
      </w:r>
      <w:r>
        <w:rPr/>
        <w:t xml:space="preserve">l‟adaptation</w:t>
      </w:r>
      <w:r>
        <w:rPr/>
        <w:t xml:space="preserve"> </w:t>
      </w:r>
      <w:r>
        <w:rPr/>
        <w:t xml:space="preserve">aux changements climatiques lors de la préparation et de la mise en œuvre</w:t>
      </w:r>
      <w:r>
        <w:rPr/>
        <w:t xml:space="preserve"> </w:t>
      </w:r>
      <w:r>
        <w:rPr/>
        <w:t xml:space="preserve">des plans, programmes et projets de développement (PANA</w:t>
      </w:r>
      <w:r>
        <w:rPr/>
        <w:t xml:space="preserve">-</w:t>
      </w:r>
      <w:r>
        <w:rPr/>
        <w:t xml:space="preserve">BKF</w:t>
      </w:r>
      <w:r>
        <w:rPr/>
        <w:t xml:space="preserve">-</w:t>
      </w:r>
      <w:r>
        <w:rPr/>
        <w:t xml:space="preserve">PNUD/JAPON), financé par le Gouvernement japonais </w:t>
      </w:r>
      <w:r>
        <w:rPr/>
        <w:t xml:space="preserve"> </w:t>
      </w:r>
    </w:p>
    <w:p>
      <w:pPr>
        <w:pStyle w:val="normal"/>
        <w:numPr>
          <w:ilvl w:val="0"/>
          <w:numId w:val="5"/>
        </w:numPr>
        <w:spacing w:before="0" w:after="5" w:line="247" w:lineRule="auto"/>
        <w:ind w:left="1390" w:right="598" w:hanging="360"/>
      </w:pPr>
      <w:r>
        <w:rPr/>
        <w:t xml:space="preserve">A ce jour ces projets ont permis d‟améliorer  le niveau d‟information des acteurs au niveau national et décentralisé sur les défis des changements climatiques. Un effort de coordination et de </w:t>
      </w:r>
      <w:r>
        <w:rPr/>
        <w:t xml:space="preserve">mise en cohérence de ces trois projets a été assuré à travers la mise en place d‟un dispositif unique de pilotage et de coordination. </w:t>
      </w:r>
      <w:r>
        <w:rPr/>
        <w:t xml:space="preserve"> </w:t>
      </w:r>
    </w:p>
    <w:p>
      <w:pPr>
        <w:pStyle w:val="normal"/>
        <w:numPr>
          <w:ilvl w:val="0"/>
          <w:numId w:val="5"/>
        </w:numPr>
        <w:spacing w:before="0" w:after="5" w:line="247" w:lineRule="auto"/>
        <w:ind w:left="1390" w:right="598" w:hanging="360"/>
      </w:pPr>
      <w:r>
        <w:rPr/>
        <w:t xml:space="preserve">Le MEDD</w:t>
      </w:r>
      <w:r>
        <w:rPr/>
        <w:t xml:space="preserve"> </w:t>
      </w:r>
      <w:r>
        <w:rPr/>
        <w:t xml:space="preserve">a lancé en 2011 avec l‟appui du PNUD une initiative de développement des capacités institutionnelles de gestion des changements climatiques qui devra permettre entre autres l‟accréditation d‟une Entité Nationale de Mise en Œuvre du Fonds Adaptation.</w:t>
      </w:r>
      <w:r>
        <w:rPr/>
        <w:t xml:space="preserve">  </w:t>
      </w:r>
    </w:p>
    <w:p>
      <w:pPr>
        <w:spacing w:before="0" w:after="21" w:line="259" w:lineRule="auto"/>
        <w:ind w:left="1390" w:firstLine="0"/>
        <w:jc w:val="left"/>
      </w:pPr>
      <w:r>
        <w:rPr/>
        <w:t xml:space="preserve"> </w:t>
      </w:r>
    </w:p>
    <w:p>
      <w:pPr>
        <w:pStyle w:val="normal"/>
        <w:numPr>
          <w:ilvl w:val="0"/>
          <w:numId w:val="5"/>
        </w:numPr>
        <w:spacing w:before="0" w:after="5" w:line="247" w:lineRule="auto"/>
        <w:ind w:left="1390" w:right="598" w:hanging="360"/>
      </w:pPr>
      <w:r>
        <w:rPr/>
        <w:t xml:space="preserve">Le projet de Surveillance de l‟environnement en Afrique pour le développement durable (AMESD)</w:t>
      </w:r>
      <w:r>
        <w:rPr/>
        <w:t xml:space="preserve"> </w:t>
      </w:r>
      <w:r>
        <w:rPr/>
        <w:t xml:space="preserve">financé par l‟Union Européenne  vise à renforcer l‟usage opérationnel des technologies d‟observation de la terre et à garantir la pérennité des applications environnementales et climatologiques spécifiquement africaines. Il s‟agit notamment</w:t>
      </w:r>
      <w:r>
        <w:rPr/>
        <w:t xml:space="preserve"> </w:t>
      </w:r>
      <w:r>
        <w:rPr/>
        <w:t xml:space="preserve">de doter les nations d‟Afrique des moyens dont elles ont besoin pour gérer plus efficacement leur environnement. Pour la région de l‟Afrique occidentale, la CEDEAO a retenu</w:t>
      </w:r>
      <w:r>
        <w:rPr/>
        <w:t xml:space="preserve"> </w:t>
      </w:r>
      <w:r>
        <w:rPr/>
        <w:t xml:space="preserve">la thématique “Gestion des ressources en eau et la gestion des cultures et des pâturages” et confié la réalisation de cette activité au Centre </w:t>
      </w:r>
    </w:p>
    <w:p>
      <w:pPr>
        <w:pStyle w:val="normal"/>
        <w:spacing w:before="0" w:after="5" w:line="247" w:lineRule="auto"/>
        <w:ind w:left="1400" w:right="598"/>
      </w:pPr>
      <w:r>
        <w:rPr/>
        <w:t xml:space="preserve">AGRHYMET.</w:t>
      </w:r>
      <w:r>
        <w:rPr/>
        <w:t xml:space="preserve"> </w:t>
      </w:r>
    </w:p>
    <w:p>
      <w:pPr>
        <w:pStyle w:val="normal"/>
        <w:numPr>
          <w:ilvl w:val="0"/>
          <w:numId w:val="5"/>
        </w:numPr>
        <w:spacing w:before="0" w:after="5" w:line="247" w:lineRule="auto"/>
        <w:ind w:left="1390" w:right="598" w:hanging="360"/>
      </w:pPr>
      <w:r>
        <w:rPr/>
        <w:t xml:space="preserve">Pour la période 2012</w:t>
      </w:r>
      <w:r>
        <w:rPr/>
        <w:t xml:space="preserve">-</w:t>
      </w:r>
      <w:r>
        <w:rPr/>
        <w:t xml:space="preserve">2016 l‟Union Européenne intervient à travers le projet «Support to the Global Climate Change Alliance (GCCA)». L‟objectif spécifique de ce projet est de renforcer les capacités des pays d'Afrique de l'Ouest et des acteurs régionaux, en vue de les aider à formuler et à mettre en œuvre des politiques et des stratégies intégrant les changements climatiques dans les plans et programmes de développement</w:t>
      </w:r>
      <w:r>
        <w:rPr/>
        <w:t xml:space="preserve">.</w:t>
      </w:r>
      <w:r>
        <w:rPr/>
        <w:t xml:space="preserve"> </w:t>
      </w:r>
    </w:p>
    <w:p>
      <w:pPr>
        <w:spacing w:before="0" w:after="22" w:line="259" w:lineRule="auto"/>
        <w:ind w:left="1390" w:firstLine="0"/>
        <w:jc w:val="left"/>
      </w:pPr>
      <w:r>
        <w:rPr/>
        <w:t xml:space="preserve"> </w:t>
      </w:r>
    </w:p>
    <w:p>
      <w:pPr>
        <w:pStyle w:val="normal"/>
        <w:numPr>
          <w:ilvl w:val="0"/>
          <w:numId w:val="5"/>
        </w:numPr>
        <w:spacing w:before="0" w:after="5" w:line="247" w:lineRule="auto"/>
        <w:ind w:left="1390" w:right="598" w:hanging="360"/>
      </w:pPr>
      <w:r>
        <w:rPr>
          <w:sz w:val="24"/>
        </w:rPr>
        <w:t xml:space="preserve">Avec</w:t>
      </w:r>
      <w:r>
        <w:rPr/>
        <w:t xml:space="preserve"> </w:t>
      </w:r>
      <w:r>
        <w:rPr/>
        <w:t xml:space="preserve">l‟appui</w:t>
      </w:r>
      <w:r>
        <w:rPr/>
        <w:t xml:space="preserve"> </w:t>
      </w:r>
      <w:r>
        <w:rPr/>
        <w:t xml:space="preserve">de la Banque Mondiale et de la BAD, le Burkina</w:t>
      </w:r>
      <w:r>
        <w:rPr/>
        <w:t xml:space="preserve"> </w:t>
      </w:r>
      <w:r>
        <w:rPr/>
        <w:t xml:space="preserve">Faso</w:t>
      </w:r>
      <w:r>
        <w:rPr/>
        <w:t xml:space="preserve"> </w:t>
      </w:r>
      <w:r>
        <w:rPr/>
        <w:t xml:space="preserve">s‟est engagé dans la formulation d‟un Programme d‟Investissement Forestier (PIF</w:t>
      </w:r>
      <w:r>
        <w:rPr/>
        <w:t xml:space="preserve">) </w:t>
      </w:r>
      <w:r>
        <w:rPr/>
        <w:t xml:space="preserve">en vue de mobiliser environ trente millions de dollars pour financer trois projets</w:t>
      </w:r>
      <w:r>
        <w:rPr/>
        <w:t xml:space="preserve"> </w:t>
      </w:r>
      <w:r>
        <w:rPr/>
        <w:t xml:space="preserve">: </w:t>
      </w:r>
      <w:r>
        <w:rPr>
          <w:rFonts w:cs="Calibri" w:hAnsi="Calibri" w:eastAsia="Calibri" w:ascii="Calibri"/>
          <w:b w:val="1"/>
        </w:rPr>
        <w:t xml:space="preserve"> </w:t>
      </w:r>
    </w:p>
    <w:p>
      <w:pPr>
        <w:pStyle w:val="normal"/>
        <w:numPr>
          <w:ilvl w:val="1"/>
          <w:numId w:val="5"/>
        </w:numPr>
        <w:spacing w:before="0" w:after="5" w:line="247" w:lineRule="auto"/>
        <w:ind w:left="1750" w:right="598" w:hanging="360"/>
      </w:pPr>
      <w:r>
        <w:rPr/>
        <w:t xml:space="preserve">Un projet de gestion décentralisée durable des forêts</w:t>
      </w:r>
      <w:r>
        <w:rPr/>
        <w:t xml:space="preserve"> </w:t>
      </w:r>
    </w:p>
    <w:p>
      <w:pPr>
        <w:pStyle w:val="normal"/>
        <w:numPr>
          <w:ilvl w:val="1"/>
          <w:numId w:val="5"/>
        </w:numPr>
        <w:spacing w:before="0" w:after="5" w:line="247" w:lineRule="auto"/>
        <w:ind w:left="1750" w:right="598" w:hanging="360"/>
      </w:pPr>
      <w:r>
        <w:rPr/>
        <w:t xml:space="preserve">Un projet de protection et de gestion participative des forêts domaniales</w:t>
      </w:r>
      <w:r>
        <w:rPr/>
        <w:t xml:space="preserve"> </w:t>
      </w:r>
    </w:p>
    <w:p>
      <w:pPr>
        <w:pStyle w:val="normal"/>
        <w:numPr>
          <w:ilvl w:val="1"/>
          <w:numId w:val="5"/>
        </w:numPr>
        <w:spacing w:before="0" w:after="5" w:line="247" w:lineRule="auto"/>
        <w:ind w:left="1750" w:right="598" w:hanging="360"/>
      </w:pPr>
      <w:r>
        <w:rPr/>
        <w:t xml:space="preserve">Un projet de valorisation des produits forestiers et de développement des filières</w:t>
      </w:r>
      <w:r>
        <w:rPr/>
        <w:t xml:space="preserve"> </w:t>
      </w:r>
    </w:p>
    <w:p>
      <w:pPr>
        <w:spacing w:before="0" w:after="0" w:line="259" w:lineRule="auto"/>
        <w:ind w:left="319" w:firstLine="0"/>
        <w:jc w:val="left"/>
      </w:pPr>
      <w:r>
        <w:rPr/>
        <w:t xml:space="preserve"> </w:t>
      </w:r>
    </w:p>
    <w:p>
      <w:pPr>
        <w:pStyle w:val="heading4"/>
        <w:spacing w:before="0" w:after="0" w:line="259" w:lineRule="auto"/>
        <w:ind w:left="314"/>
      </w:pPr>
      <w:r>
        <w:rPr/>
        <w:t xml:space="preserve">Dans</w:t>
      </w:r>
      <w:r>
        <w:rPr/>
        <w:t xml:space="preserve"> </w:t>
      </w:r>
      <w:r>
        <w:rPr/>
        <w:t xml:space="preserve">le domaine</w:t>
      </w:r>
      <w:r>
        <w:rPr/>
        <w:t xml:space="preserve"> </w:t>
      </w:r>
      <w:r>
        <w:rPr/>
        <w:t xml:space="preserve">de la conservation/valorisation de la diversité biologique</w:t>
      </w:r>
      <w:r>
        <w:rPr>
          <w:u w:val="none" w:color="000000"/>
        </w:rPr>
        <w:t xml:space="preserve"> </w:t>
      </w:r>
    </w:p>
    <w:p>
      <w:pPr>
        <w:spacing w:before="0" w:after="17" w:line="259" w:lineRule="auto"/>
        <w:ind w:left="1390" w:firstLine="0"/>
        <w:jc w:val="left"/>
      </w:pPr>
      <w:r>
        <w:rPr/>
        <w:t xml:space="preserve"> </w:t>
      </w:r>
    </w:p>
    <w:p>
      <w:pPr>
        <w:pStyle w:val="normal"/>
        <w:numPr>
          <w:ilvl w:val="0"/>
          <w:numId w:val="6"/>
        </w:numPr>
        <w:spacing w:before="0" w:after="31" w:line="247" w:lineRule="auto"/>
        <w:ind w:left="1390" w:right="598" w:hanging="360"/>
      </w:pPr>
      <w:r>
        <w:rPr/>
        <w:t xml:space="preserve">Le PNUD Burkina soutient le gouvernement dans la conservation et la valorisation de la biodiversité à travers deux projets actifs à ce jour</w:t>
      </w:r>
      <w:r>
        <w:rPr/>
        <w:t xml:space="preserve"> </w:t>
      </w:r>
      <w:r>
        <w:rPr/>
        <w:t xml:space="preserve">et un projet en formulation. Il s‟agit du projet d‟appui aux parcs de l‟entente (PAPE), du projet WAP et du projet de gestion des zones tampon des aires protégées du Burkina Faso. Le projet PAPE a pour objectif de renforcer la conservation des écosystèmes du Complexe WAP composé par les parcs nationaux du W, d‟Arly et de la Pendjari ainsi que les aires protégées adjacentes et leurs zones périphériques contigües au Bénin, Burkina Faso et  Niger. Il est financé par l‟UE, le GEF, le PNUD, le Bénin, le Burkina</w:t>
      </w:r>
      <w:r>
        <w:rPr/>
        <w:t xml:space="preserve"> </w:t>
      </w:r>
      <w:r>
        <w:rPr/>
        <w:t xml:space="preserve">Faso, le </w:t>
      </w:r>
    </w:p>
    <w:p>
      <w:pPr>
        <w:pStyle w:val="normal"/>
        <w:spacing w:before="0" w:after="5" w:line="247" w:lineRule="auto"/>
        <w:ind w:left="1400" w:right="598"/>
      </w:pPr>
      <w:r>
        <w:rPr/>
        <w:t xml:space="preserve">Niger et l‟UEMOA.</w:t>
      </w:r>
      <w:r>
        <w:rPr/>
        <w:t xml:space="preserve"> </w:t>
      </w:r>
    </w:p>
    <w:p>
      <w:pPr>
        <w:numPr>
          <w:ilvl w:val="0"/>
          <w:numId w:val="6"/>
        </w:numPr>
        <w:shd w:val="clear" w:color="auto" w:fill="fbfde1"/>
        <w:spacing w:before="0" w:after="0" w:line="259" w:lineRule="auto"/>
        <w:ind w:left="1390" w:right="605" w:hanging="360"/>
      </w:pPr>
      <w:r>
        <w:rPr/>
        <w:t xml:space="preserve">Le</w:t>
      </w:r>
      <w:r>
        <w:rPr/>
        <w:t xml:space="preserve"> </w:t>
      </w:r>
      <w:r>
        <w:rPr/>
        <w:t xml:space="preserve">Programme FEM/ONG</w:t>
      </w:r>
      <w:r>
        <w:rPr/>
        <w:t xml:space="preserve"> </w:t>
      </w:r>
      <w:r>
        <w:rPr/>
        <w:t xml:space="preserve">a pour objectif principal d‟apporter des solutions locales aux problèmes de l‟environnement mondial par l‟appui à la réalisation de projets communautaires</w:t>
      </w:r>
      <w:r>
        <w:rPr/>
        <w:t xml:space="preserve"> </w:t>
      </w:r>
      <w:r>
        <w:rPr/>
        <w:t xml:space="preserve">(Associations,</w:t>
      </w:r>
      <w:r>
        <w:rPr/>
        <w:t xml:space="preserve"> </w:t>
      </w:r>
      <w:r>
        <w:rPr/>
        <w:t xml:space="preserve">Unions, Groupements, Fédérations</w:t>
      </w:r>
      <w:r>
        <w:rPr/>
        <w:t xml:space="preserve">) </w:t>
      </w:r>
      <w:r>
        <w:rPr/>
        <w:t xml:space="preserve">dans les domaines du FEM. Les domaines d‟interventions</w:t>
      </w:r>
      <w:r>
        <w:rPr/>
        <w:t xml:space="preserve">  </w:t>
      </w:r>
      <w:r>
        <w:rPr/>
        <w:t xml:space="preserve">sont</w:t>
      </w:r>
      <w:r>
        <w:rPr/>
        <w:t xml:space="preserve"> </w:t>
      </w:r>
      <w:r>
        <w:rPr/>
        <w:t xml:space="preserve">: (i) conservation de la biodiversité</w:t>
      </w:r>
      <w:r>
        <w:rPr/>
        <w:t xml:space="preserve"> </w:t>
      </w:r>
      <w:r>
        <w:rPr/>
        <w:t xml:space="preserve">; (ii) changements climatiques</w:t>
      </w:r>
      <w:r>
        <w:rPr/>
        <w:t xml:space="preserve"> </w:t>
      </w:r>
      <w:r>
        <w:rPr/>
        <w:t xml:space="preserve">; (iii) lutte contre la pollution des eaux internationales; (iv) lutte contre la réduction de la couche d‟ozone.</w:t>
      </w:r>
      <w:r>
        <w:rPr/>
        <w:t xml:space="preserve"> </w:t>
      </w:r>
    </w:p>
    <w:p>
      <w:pPr>
        <w:pStyle w:val="normal"/>
        <w:numPr>
          <w:ilvl w:val="0"/>
          <w:numId w:val="6"/>
        </w:numPr>
        <w:spacing w:before="0" w:after="5" w:line="247" w:lineRule="auto"/>
        <w:ind w:left="1390" w:right="598" w:hanging="360"/>
      </w:pPr>
      <w:r>
        <w:rPr/>
        <w:t xml:space="preserve">Le Luxembourg</w:t>
      </w:r>
      <w:r>
        <w:rPr/>
        <w:t xml:space="preserve"> </w:t>
      </w:r>
      <w:r>
        <w:rPr/>
        <w:t xml:space="preserve">soutient la réalisation d‟un projet d‟inventaire forestier national.</w:t>
      </w:r>
      <w:r>
        <w:rPr/>
        <w:t xml:space="preserve"> </w:t>
      </w:r>
    </w:p>
    <w:p>
      <w:pPr>
        <w:pStyle w:val="normal"/>
        <w:numPr>
          <w:ilvl w:val="0"/>
          <w:numId w:val="6"/>
        </w:numPr>
        <w:spacing w:before="0" w:after="5" w:line="247" w:lineRule="auto"/>
        <w:ind w:left="1390" w:right="598" w:hanging="360"/>
      </w:pPr>
      <w:r>
        <w:rPr/>
        <w:t xml:space="preserve">Grâce au projet «</w:t>
      </w:r>
      <w:r>
        <w:rPr/>
        <w:t xml:space="preserve"> </w:t>
      </w:r>
      <w:r>
        <w:rPr/>
        <w:t xml:space="preserve">Aménagement et exploitation des forêts pour le ravitaillement de Ouagadougou en bois de feu</w:t>
      </w:r>
      <w:r>
        <w:rPr/>
        <w:t xml:space="preserve"> </w:t>
      </w:r>
      <w:r>
        <w:rPr/>
        <w:t xml:space="preserve">» soutenu par la FAO, sept chantiers d‟aménagement forestier ont</w:t>
      </w:r>
      <w:r>
        <w:rPr/>
        <w:t xml:space="preserve"> </w:t>
      </w:r>
      <w:r>
        <w:rPr/>
        <w:t xml:space="preserve">été établis dans la région du Centre</w:t>
      </w:r>
      <w:r>
        <w:rPr/>
        <w:t xml:space="preserve">-</w:t>
      </w:r>
      <w:r>
        <w:rPr/>
        <w:t xml:space="preserve">ouest. Les objectifs étaient d‟approvisionner la ville de Ouagadougou</w:t>
      </w:r>
      <w:r>
        <w:rPr/>
        <w:t xml:space="preserve"> </w:t>
      </w:r>
      <w:r>
        <w:rPr/>
        <w:t xml:space="preserve">en bois de feu, de protéger les forêts, de créer des emplois et des</w:t>
      </w:r>
      <w:r>
        <w:rPr/>
        <w:t xml:space="preserve"> </w:t>
      </w:r>
      <w:r>
        <w:rPr/>
        <w:t xml:space="preserve">revenus pour les populations rurales</w:t>
      </w:r>
      <w:r>
        <w:rPr/>
        <w:t xml:space="preserve"> </w:t>
      </w:r>
      <w:r>
        <w:rPr/>
        <w:t xml:space="preserve">et conserver la diversité biologique.</w:t>
      </w:r>
      <w:r>
        <w:rPr/>
        <w:t xml:space="preserve"> </w:t>
      </w:r>
      <w:r>
        <w:rPr/>
        <w:t xml:space="preserve">En 2010 ces chantiers d‟aménagement forestier couvraient</w:t>
      </w:r>
      <w:r>
        <w:rPr/>
        <w:t xml:space="preserve"> </w:t>
      </w:r>
      <w:r>
        <w:rPr/>
        <w:t xml:space="preserve">une superficie totale de 237</w:t>
      </w:r>
      <w:r>
        <w:rPr/>
        <w:t xml:space="preserve"> </w:t>
      </w:r>
      <w:r>
        <w:rPr/>
        <w:t xml:space="preserve">118 ha </w:t>
      </w:r>
      <w:r>
        <w:rPr/>
        <w:t xml:space="preserve">(</w:t>
      </w:r>
      <w:r>
        <w:rPr/>
        <w:t xml:space="preserve">dont 70% en zone</w:t>
      </w:r>
      <w:r>
        <w:rPr/>
        <w:t xml:space="preserve"> </w:t>
      </w:r>
      <w:r>
        <w:rPr/>
        <w:t xml:space="preserve">protégée)</w:t>
      </w:r>
      <w:r>
        <w:rPr/>
        <w:t xml:space="preserve"> </w:t>
      </w:r>
      <w:r>
        <w:rPr/>
        <w:t xml:space="preserve">repartie</w:t>
      </w:r>
      <w:r>
        <w:rPr/>
        <w:t xml:space="preserve"> </w:t>
      </w:r>
      <w:r>
        <w:rPr/>
        <w:t xml:space="preserve">sur 18 communes et 224 villages.</w:t>
      </w:r>
      <w:r>
        <w:rPr/>
        <w:t xml:space="preserve"> </w:t>
      </w:r>
      <w:r>
        <w:rPr/>
        <w:t xml:space="preserve">Ces chantiers sont gérés par 231 groupements de gestion forestière totalisant 7841 membres </w:t>
      </w:r>
      <w:r>
        <w:rPr/>
        <w:t xml:space="preserve">(</w:t>
      </w:r>
      <w:r>
        <w:rPr/>
        <w:t xml:space="preserve">dont 27% de femmes</w:t>
      </w:r>
      <w:r>
        <w:rPr/>
        <w:t xml:space="preserve">) </w:t>
      </w:r>
      <w:r>
        <w:rPr/>
        <w:t xml:space="preserve">et enregistrent des recettes annuelles de 222 millions de FCA pour la vente de bois.</w:t>
      </w:r>
      <w:r>
        <w:rPr/>
        <w:t xml:space="preserve">  </w:t>
      </w:r>
    </w:p>
    <w:p>
      <w:pPr>
        <w:pStyle w:val="normal"/>
        <w:numPr>
          <w:ilvl w:val="0"/>
          <w:numId w:val="6"/>
        </w:numPr>
        <w:spacing w:before="0" w:after="5" w:line="247" w:lineRule="auto"/>
        <w:ind w:left="1390" w:right="598" w:hanging="360"/>
      </w:pPr>
      <w:r>
        <w:rPr/>
        <w:t xml:space="preserve">L‟ASDI</w:t>
      </w:r>
      <w:r>
        <w:rPr/>
        <w:t xml:space="preserve"> </w:t>
      </w:r>
      <w:r>
        <w:rPr/>
        <w:t xml:space="preserve">et le Luxembourg</w:t>
      </w:r>
      <w:r>
        <w:rPr/>
        <w:t xml:space="preserve"> </w:t>
      </w:r>
      <w:r>
        <w:rPr/>
        <w:t xml:space="preserve">conviennent de formuler</w:t>
      </w:r>
      <w:r>
        <w:rPr/>
        <w:t xml:space="preserve"> </w:t>
      </w:r>
      <w:r>
        <w:rPr/>
        <w:t xml:space="preserve">un programme d‟appui harmonisé sur les axes suivants </w:t>
      </w:r>
      <w:r>
        <w:rPr/>
        <w:t xml:space="preserve">: </w:t>
      </w:r>
      <w:r>
        <w:rPr/>
        <w:t xml:space="preserve"> </w:t>
      </w:r>
    </w:p>
    <w:p>
      <w:pPr>
        <w:pStyle w:val="heading4"/>
        <w:spacing w:before="0" w:after="0" w:line="259" w:lineRule="auto"/>
        <w:ind w:left="1748"/>
      </w:pPr>
      <w:r>
        <w:rPr/>
        <w:t xml:space="preserve">Pour l‟Agence Suédoise de Développement International</w:t>
      </w:r>
      <w:r>
        <w:rPr/>
        <w:t xml:space="preserve">  (</w:t>
      </w:r>
      <w:r>
        <w:rPr/>
        <w:t xml:space="preserve">ASDI</w:t>
      </w:r>
      <w:r>
        <w:rPr/>
        <w:t xml:space="preserve">)</w:t>
      </w:r>
      <w:r>
        <w:rPr>
          <w:u w:val="none" w:color="000000"/>
        </w:rPr>
        <w:t xml:space="preserve"> </w:t>
      </w:r>
    </w:p>
    <w:p>
      <w:pPr>
        <w:pStyle w:val="normal"/>
        <w:numPr>
          <w:ilvl w:val="0"/>
          <w:numId w:val="7"/>
        </w:numPr>
        <w:spacing w:before="0" w:after="5" w:line="247" w:lineRule="auto"/>
        <w:ind w:left="1738" w:right="598" w:hanging="286"/>
      </w:pPr>
      <w:r>
        <w:rPr/>
        <w:t xml:space="preserve">le renforcement de la gestion décentralisée des forêts pour une production forestière et agro</w:t>
      </w:r>
      <w:r>
        <w:rPr/>
        <w:t xml:space="preserve"/>
      </w:r>
      <w:r>
        <w:rPr/>
        <w:t xml:space="preserve">forestière renforcée en faveur de la population pauvre ;</w:t>
      </w:r>
      <w:r>
        <w:rPr/>
        <w:t xml:space="preserve"> </w:t>
      </w:r>
    </w:p>
    <w:p>
      <w:pPr>
        <w:pStyle w:val="normal"/>
        <w:numPr>
          <w:ilvl w:val="0"/>
          <w:numId w:val="7"/>
        </w:numPr>
        <w:spacing w:before="0" w:after="5" w:line="247" w:lineRule="auto"/>
        <w:ind w:left="1738" w:right="598" w:hanging="286"/>
      </w:pPr>
      <w:r>
        <w:rPr/>
        <w:t xml:space="preserve">le renforcement de certaines fonctions du MEDD, en particulier celles en lien avec la gestion des finances publiques et/ou le suivi</w:t>
      </w:r>
      <w:r>
        <w:rPr/>
        <w:t xml:space="preserve">-</w:t>
      </w:r>
      <w:r>
        <w:rPr/>
        <w:t xml:space="preserve">évaluation</w:t>
      </w:r>
      <w:r>
        <w:rPr/>
        <w:t xml:space="preserve"> ;  </w:t>
      </w:r>
      <w:r>
        <w:rPr>
          <w:u w:val="single" w:color="000000"/>
        </w:rPr>
        <w:t xml:space="preserve">Pour la Coopération Luxembourgeoise</w:t>
      </w:r>
      <w:r>
        <w:rPr/>
        <w:t xml:space="preserve"> </w:t>
      </w:r>
    </w:p>
    <w:p>
      <w:pPr>
        <w:pStyle w:val="normal"/>
        <w:numPr>
          <w:ilvl w:val="0"/>
          <w:numId w:val="7"/>
        </w:numPr>
        <w:spacing w:before="0" w:after="5" w:line="247" w:lineRule="auto"/>
        <w:ind w:left="1738" w:right="598" w:hanging="286"/>
      </w:pPr>
      <w:r>
        <w:rPr/>
        <w:t xml:space="preserve">le renforcement des capacités des acteurs pour une gestion rationnelle des ressources forestières</w:t>
      </w:r>
      <w:r>
        <w:rPr/>
        <w:t xml:space="preserve">; </w:t>
      </w:r>
    </w:p>
    <w:p>
      <w:pPr>
        <w:pStyle w:val="normal"/>
        <w:numPr>
          <w:ilvl w:val="0"/>
          <w:numId w:val="7"/>
        </w:numPr>
        <w:spacing w:before="0" w:after="37" w:line="247" w:lineRule="auto"/>
        <w:ind w:left="1738" w:right="598" w:hanging="286"/>
      </w:pPr>
      <w:r>
        <w:rPr/>
        <w:t xml:space="preserve">un appui spécifique au ministère chargé de l‟environnement</w:t>
      </w:r>
      <w:r>
        <w:rPr/>
        <w:t xml:space="preserve"> </w:t>
      </w:r>
      <w:r>
        <w:rPr/>
        <w:t xml:space="preserve">pour renforcer les capacités de gestion et d‟exécution financière dans le domaine des ressources forestières;</w:t>
      </w:r>
      <w:r>
        <w:rPr/>
        <w:t xml:space="preserve"> </w:t>
      </w:r>
    </w:p>
    <w:p>
      <w:pPr>
        <w:pStyle w:val="normal"/>
        <w:numPr>
          <w:ilvl w:val="0"/>
          <w:numId w:val="7"/>
        </w:numPr>
        <w:spacing w:before="0" w:after="5" w:line="247" w:lineRule="auto"/>
        <w:ind w:left="1738" w:right="598" w:hanging="286"/>
      </w:pPr>
      <w:r>
        <w:rPr/>
        <w:t xml:space="preserve">un appui technique et financier au montage d‟un fonds spécial destiné à soutenir les initiatives soumises par des promoteurs non étatiques, en matière de gestion durable des ressources naturelles.</w:t>
      </w:r>
      <w:r>
        <w:rPr/>
        <w:t xml:space="preserve"> </w:t>
      </w:r>
    </w:p>
    <w:p>
      <w:pPr>
        <w:spacing w:before="0" w:after="213" w:line="259" w:lineRule="auto"/>
        <w:ind w:left="319" w:firstLine="0"/>
        <w:jc w:val="left"/>
      </w:pPr>
      <w:r>
        <w:rPr/>
        <w:t xml:space="preserve"> </w:t>
      </w:r>
    </w:p>
    <w:p>
      <w:pPr>
        <w:pStyle w:val="heading4"/>
        <w:spacing w:before="0" w:after="0" w:line="259" w:lineRule="auto"/>
        <w:ind w:left="314"/>
      </w:pPr>
      <w:r>
        <w:rPr/>
        <w:t xml:space="preserve">Dans le domaine de la gestion durable des terres</w:t>
      </w:r>
      <w:r>
        <w:rPr>
          <w:u w:val="none" w:color="000000"/>
        </w:rPr>
        <w:t xml:space="preserve"> </w:t>
      </w:r>
    </w:p>
    <w:p>
      <w:pPr>
        <w:pStyle w:val="normal"/>
        <w:spacing w:before="0" w:after="5" w:line="247" w:lineRule="auto"/>
        <w:ind w:left="1390" w:right="598" w:hanging="360"/>
      </w:pPr>
      <w:r>
        <w:rPr/>
        <w:t xml:space="preserve">24.</w:t>
      </w:r>
      <w:r>
        <w:rPr>
          <w:rFonts w:cs="Arial" w:hAnsi="Arial" w:eastAsia="Arial" w:ascii="Arial"/>
        </w:rPr>
        <w:t xml:space="preserve"> </w:t>
      </w:r>
      <w:r>
        <w:rPr/>
        <w:t xml:space="preserve">Le </w:t>
      </w:r>
      <w:r>
        <w:rPr>
          <w:sz w:val="24"/>
        </w:rPr>
        <w:t xml:space="preserve">PNUD</w:t>
      </w:r>
      <w:r>
        <w:rPr/>
        <w:t xml:space="preserve"> </w:t>
      </w:r>
      <w:r>
        <w:rPr/>
        <w:t xml:space="preserve">soutient le</w:t>
      </w:r>
      <w:r>
        <w:rPr/>
        <w:t xml:space="preserve"> </w:t>
      </w:r>
      <w:r>
        <w:rPr/>
        <w:t xml:space="preserve">Programme National de Partenariat pour la Gestion Durable des terres (CPP) dont le but est de combattre la dégradation des terres et la pauvreté au Burkina Faso, à travers un aménagement durable, décentralisé et équitable des ressources. Il s‟agit notamment d‟améliorer de manière durable la productivité des ressources rurales par l‟utilisation d‟une approche intégrée et holistique permettant au Burkina Faso d‟inverser la tendance à la déperdition des ressources environnementales. Les interventions à ce jour ont permis la réalisation de l‟étude sur</w:t>
      </w:r>
      <w:r>
        <w:rPr/>
        <w:t xml:space="preserve"> </w:t>
      </w:r>
      <w:r>
        <w:rPr/>
        <w:t xml:space="preserve">la mise en place d‟un Observatoire National de l‟Environnement et du Développement Durable,</w:t>
      </w:r>
      <w:r>
        <w:rPr/>
        <w:t xml:space="preserve"> </w:t>
      </w:r>
      <w:r>
        <w:rPr/>
        <w:t xml:space="preserve">la formation des personnes ressources des structures et cadres institutionnels impliqués dans la gestion des terres</w:t>
      </w:r>
      <w:r>
        <w:rPr/>
        <w:t xml:space="preserve"> </w:t>
      </w:r>
      <w:r>
        <w:rPr/>
        <w:t xml:space="preserve">et l‟inventaire des bonnes pratiques en matière de gestion des terres</w:t>
      </w:r>
      <w:r>
        <w:rPr/>
        <w:t xml:space="preserve">. </w:t>
      </w:r>
      <w:r>
        <w:rPr/>
        <w:t xml:space="preserve"> </w:t>
      </w:r>
    </w:p>
    <w:p>
      <w:pPr>
        <w:spacing w:before="0" w:after="0" w:line="259" w:lineRule="auto"/>
        <w:ind w:left="319" w:firstLine="0"/>
        <w:jc w:val="left"/>
      </w:pPr>
      <w:r>
        <w:rPr/>
        <w:t xml:space="preserve"> </w:t>
      </w:r>
    </w:p>
    <w:p>
      <w:pPr>
        <w:pStyle w:val="heading4"/>
        <w:spacing w:before="0" w:after="0" w:line="259" w:lineRule="auto"/>
        <w:ind w:left="314"/>
      </w:pPr>
      <w:r>
        <w:rPr/>
        <w:t xml:space="preserve">Dans le</w:t>
      </w:r>
      <w:r>
        <w:rPr/>
        <w:t xml:space="preserve"> </w:t>
      </w:r>
      <w:r>
        <w:rPr/>
        <w:t xml:space="preserve">domaine de la décentralisation</w:t>
      </w:r>
      <w:r>
        <w:rPr>
          <w:u w:val="none" w:color="000000"/>
        </w:rPr>
        <w:t xml:space="preserve">  </w:t>
      </w:r>
    </w:p>
    <w:p>
      <w:pPr>
        <w:pStyle w:val="normal"/>
        <w:spacing w:before="0" w:after="5" w:line="247" w:lineRule="auto"/>
        <w:ind w:left="329" w:right="598"/>
      </w:pPr>
      <w:r>
        <w:rPr/>
        <w:t xml:space="preserve">Plusieurs partenaires techniques et financiers accompagnent le Burkina Faso dans la mise en œuvre du processus de décentralisation. On peut mentionner ente autres les programmes suivants:</w:t>
      </w:r>
      <w:r>
        <w:rPr/>
        <w:t xml:space="preserve"> </w:t>
      </w:r>
    </w:p>
    <w:p>
      <w:pPr>
        <w:pStyle w:val="normal"/>
        <w:numPr>
          <w:ilvl w:val="0"/>
          <w:numId w:val="8"/>
        </w:numPr>
        <w:spacing w:before="0" w:after="5" w:line="247" w:lineRule="auto"/>
        <w:ind w:left="1760" w:right="598" w:hanging="360"/>
      </w:pPr>
      <w:r>
        <w:rPr/>
        <w:t xml:space="preserve">Le Programme de Renforcement de la Gouvernance qui a une composante gouvernance locale, soutenu par le PNUD</w:t>
      </w:r>
      <w:r>
        <w:rPr/>
        <w:t xml:space="preserve"> </w:t>
      </w:r>
    </w:p>
    <w:p>
      <w:pPr>
        <w:pStyle w:val="normal"/>
        <w:numPr>
          <w:ilvl w:val="0"/>
          <w:numId w:val="8"/>
        </w:numPr>
        <w:spacing w:before="0" w:after="36" w:line="247" w:lineRule="auto"/>
        <w:ind w:left="1760" w:right="598" w:hanging="360"/>
      </w:pPr>
      <w:r>
        <w:rPr/>
        <w:t xml:space="preserve">Le Programme National de Gestion des Terroirs, phase</w:t>
      </w:r>
      <w:r>
        <w:rPr/>
        <w:t xml:space="preserve"> </w:t>
      </w:r>
      <w:r>
        <w:rPr/>
        <w:t xml:space="preserve">II</w:t>
      </w:r>
      <w:r>
        <w:rPr/>
        <w:t xml:space="preserve"> </w:t>
      </w:r>
      <w:r>
        <w:rPr/>
        <w:t xml:space="preserve">et le Programme d‟Appui aux Collectivités Territoriales (PAC) financé par la Banque Mondiale</w:t>
      </w:r>
      <w:r>
        <w:rPr/>
        <w:t xml:space="preserve"> </w:t>
      </w:r>
    </w:p>
    <w:p>
      <w:pPr>
        <w:pStyle w:val="normal"/>
        <w:numPr>
          <w:ilvl w:val="0"/>
          <w:numId w:val="8"/>
        </w:numPr>
        <w:spacing w:before="0" w:after="5" w:line="247" w:lineRule="auto"/>
        <w:ind w:left="1760" w:right="598" w:hanging="360"/>
      </w:pPr>
      <w:r>
        <w:rPr/>
        <w:t xml:space="preserve">Le Programme d‟Appui à la Décentralisation et aux investissements Communaux (PADIC) financé par l‟Union Européenne</w:t>
      </w:r>
      <w:r>
        <w:rPr/>
        <w:t xml:space="preserve"> </w:t>
      </w:r>
    </w:p>
    <w:p>
      <w:pPr>
        <w:pStyle w:val="normal"/>
        <w:numPr>
          <w:ilvl w:val="0"/>
          <w:numId w:val="8"/>
        </w:numPr>
        <w:spacing w:before="0" w:after="5" w:line="247" w:lineRule="auto"/>
        <w:ind w:left="1760" w:right="598" w:hanging="360"/>
      </w:pPr>
      <w:r>
        <w:rPr/>
        <w:t xml:space="preserve">Le Programme Régional de Développement de la Région de la Boucle du Mouhoun</w:t>
      </w:r>
      <w:r>
        <w:rPr/>
        <w:t xml:space="preserve">  </w:t>
      </w:r>
      <w:r>
        <w:rPr/>
        <w:t xml:space="preserve">financé par la Coopération Autrichienne</w:t>
      </w:r>
      <w:r>
        <w:rPr/>
        <w:t xml:space="preserve"> </w:t>
      </w:r>
    </w:p>
    <w:p>
      <w:pPr>
        <w:pStyle w:val="normal"/>
        <w:numPr>
          <w:ilvl w:val="0"/>
          <w:numId w:val="8"/>
        </w:numPr>
        <w:spacing w:before="0" w:after="5" w:line="247" w:lineRule="auto"/>
        <w:ind w:left="1760" w:right="598" w:hanging="360"/>
      </w:pPr>
      <w:r>
        <w:rPr/>
        <w:t xml:space="preserve">Programme d‟Appui à la Gestion des Collectivités Territoriales financé par la Coopération Suisse</w:t>
      </w:r>
      <w:r>
        <w:rPr/>
        <w:t xml:space="preserve"> </w:t>
      </w:r>
    </w:p>
    <w:p>
      <w:pPr>
        <w:pStyle w:val="normal"/>
        <w:numPr>
          <w:ilvl w:val="0"/>
          <w:numId w:val="8"/>
        </w:numPr>
        <w:spacing w:before="0" w:after="5" w:line="247" w:lineRule="auto"/>
        <w:ind w:left="1760" w:right="598" w:hanging="360"/>
      </w:pPr>
      <w:r>
        <w:rPr/>
        <w:t xml:space="preserve">Le FICOM et le Programme de Décentralisation et de développement Communal financé par la Coopération allemande</w:t>
      </w:r>
      <w:r>
        <w:rPr/>
        <w:t xml:space="preserve"> </w:t>
      </w:r>
    </w:p>
    <w:p>
      <w:pPr>
        <w:spacing w:before="0" w:after="18" w:line="259" w:lineRule="auto"/>
        <w:ind w:left="319" w:firstLine="0"/>
        <w:jc w:val="left"/>
      </w:pPr>
      <w:r>
        <w:rPr/>
        <w:t xml:space="preserve"> </w:t>
      </w:r>
    </w:p>
    <w:p>
      <w:pPr>
        <w:pStyle w:val="normal"/>
        <w:spacing w:before="0" w:after="5" w:line="247" w:lineRule="auto"/>
        <w:ind w:left="329" w:right="598"/>
      </w:pPr>
      <w:r>
        <w:rPr/>
        <w:t xml:space="preserve">Un</w:t>
      </w:r>
      <w:r>
        <w:rPr/>
        <w:t xml:space="preserve"> </w:t>
      </w:r>
      <w:r>
        <w:rPr/>
        <w:t xml:space="preserve">Plan d‟Action pour la mise en œuvre des Réformes Institutionnelles et Juridiques pour la Décentralisation dans le Secteur forestier (PRIJD/SF) a été élaboré par le Ministère chargé de l‟environnement en 2006 avec l‟appui de la FAO. Ce plan d‟action précise les principes et bases légales de la réforme, ainsi que les fonctions, mandats et ressources des acteurs aux différents niveaux. Il prévoit une forte</w:t>
      </w:r>
      <w:r>
        <w:rPr/>
        <w:t xml:space="preserve"> </w:t>
      </w:r>
      <w:r>
        <w:rPr/>
        <w:t xml:space="preserve">composante </w:t>
      </w:r>
      <w:r>
        <w:rPr/>
        <w:t xml:space="preserve">« </w:t>
      </w:r>
      <w:r>
        <w:rPr/>
        <w:t xml:space="preserve">formation</w:t>
      </w:r>
      <w:r>
        <w:rPr/>
        <w:t xml:space="preserve"> </w:t>
      </w:r>
      <w:r>
        <w:rPr/>
        <w:t xml:space="preserve">» en direction des agents de l‟Etat, des Collectivités Territoriales mais aussi des Organisations de la Société civile (OSC), du secteur privé et des médias. Sa mise en œuvre connaît cependant un retard important. Dans ce contexte les capacités d‟appui</w:t>
      </w:r>
      <w:r>
        <w:rPr/>
        <w:t xml:space="preserve">-</w:t>
      </w:r>
      <w:r>
        <w:rPr/>
        <w:t xml:space="preserve">conseils des services déconcentrés et des organisations de la société civile pour la gestion des changements climatiques notamment sont faibles</w:t>
      </w:r>
      <w:r>
        <w:rPr/>
        <w:t xml:space="preserve"> </w:t>
      </w:r>
      <w:r>
        <w:rPr/>
        <w:t xml:space="preserve">et devront être renforcées</w:t>
      </w:r>
      <w:r>
        <w:rPr/>
        <w:t xml:space="preserve">.</w:t>
      </w:r>
      <w:r>
        <w:rPr>
          <w:rFonts w:cs="Times New Roman" w:hAnsi="Times New Roman" w:eastAsia="Times New Roman" w:ascii="Times New Roman"/>
          <w:b w:val="1"/>
        </w:rPr>
        <w:t xml:space="preserve"> </w:t>
      </w:r>
    </w:p>
    <w:p>
      <w:pPr>
        <w:spacing w:before="0" w:after="0" w:line="259" w:lineRule="auto"/>
        <w:ind w:left="319" w:firstLine="0"/>
        <w:jc w:val="left"/>
      </w:pPr>
      <w:r>
        <w:rPr/>
        <w:t xml:space="preserve"> </w:t>
      </w:r>
    </w:p>
    <w:p>
      <w:pPr>
        <w:spacing w:before="0" w:after="0" w:line="259" w:lineRule="auto"/>
        <w:ind w:left="319" w:firstLine="0"/>
        <w:jc w:val="left"/>
      </w:pPr>
      <w:r>
        <w:rPr/>
        <w:t xml:space="preserve"> 	 </w:t>
      </w:r>
    </w:p>
    <w:p>
      <w:pPr>
        <w:spacing w:before="0" w:after="31" w:line="259" w:lineRule="auto"/>
        <w:ind w:left="319" w:firstLine="0"/>
        <w:jc w:val="left"/>
      </w:pPr>
      <w:r>
        <w:rPr/>
        <w:t xml:space="preserve"> </w:t>
      </w:r>
    </w:p>
    <w:p>
      <w:pPr>
        <w:pStyle w:val="heading3"/>
        <w:spacing w:before="0" w:after="10" w:line="249" w:lineRule="auto"/>
        <w:ind w:left="329"/>
      </w:pPr>
      <w:r>
        <w:rPr>
          <w:sz w:val="22"/>
        </w:rPr>
        <w:t xml:space="preserve">1.3.</w:t>
      </w:r>
      <w:r>
        <w:rPr>
          <w:rFonts w:cs="Arial" w:hAnsi="Arial" w:eastAsia="Arial" w:ascii="Arial"/>
          <w:sz w:val="22"/>
        </w:rPr>
        <w:t xml:space="preserve"> </w:t>
      </w:r>
      <w:r>
        <w:rPr/>
        <w:t xml:space="preserve">Le Cadre d’intervention</w:t>
      </w:r>
      <w:r>
        <w:rPr/>
        <w:t xml:space="preserve"> </w:t>
      </w:r>
      <w:r>
        <w:rPr/>
        <w:t xml:space="preserve">du PNUD</w:t>
      </w:r>
      <w:r>
        <w:rPr>
          <w:sz w:val="22"/>
        </w:rPr>
        <w:t xml:space="preserve"> </w:t>
      </w:r>
      <w:r>
        <w:rPr>
          <w:rFonts w:cs="Times New Roman" w:hAnsi="Times New Roman" w:eastAsia="Times New Roman" w:ascii="Times New Roman"/>
          <w:b w:val="0"/>
          <w:sz w:val="22"/>
        </w:rPr>
        <w:t xml:space="preserve"> </w:t>
      </w:r>
    </w:p>
    <w:p>
      <w:pPr>
        <w:pStyle w:val="heading4"/>
        <w:spacing w:before="0" w:after="55" w:line="248" w:lineRule="auto"/>
        <w:ind w:left="1038"/>
      </w:pPr>
      <w:r>
        <w:rPr>
          <w:rFonts w:cs="Times New Roman" w:hAnsi="Times New Roman" w:eastAsia="Times New Roman" w:ascii="Times New Roman"/>
          <w:b w:val="1"/>
          <w:u w:val="none" w:color="000000"/>
        </w:rPr>
        <w:t xml:space="preserve">1.3.1.</w:t>
      </w:r>
      <w:r>
        <w:rPr>
          <w:rFonts w:cs="Arial" w:hAnsi="Arial" w:eastAsia="Arial" w:ascii="Arial"/>
          <w:b w:val="1"/>
          <w:u w:val="none" w:color="000000"/>
        </w:rPr>
        <w:t xml:space="preserve"> </w:t>
      </w:r>
      <w:r>
        <w:rPr>
          <w:rFonts w:cs="Times New Roman" w:hAnsi="Times New Roman" w:eastAsia="Times New Roman" w:ascii="Times New Roman"/>
          <w:b w:val="1"/>
          <w:u w:val="none" w:color="000000"/>
        </w:rPr>
        <w:t xml:space="preserve">Le cadre planification</w:t>
      </w:r>
      <w:r>
        <w:rPr>
          <w:rFonts w:cs="Times New Roman" w:hAnsi="Times New Roman" w:eastAsia="Times New Roman" w:ascii="Times New Roman"/>
          <w:b w:val="1"/>
          <w:u w:val="none" w:color="000000"/>
        </w:rPr>
        <w:t xml:space="preserve"> </w:t>
      </w:r>
    </w:p>
    <w:p>
      <w:pPr>
        <w:pStyle w:val="normal"/>
        <w:numPr>
          <w:ilvl w:val="0"/>
          <w:numId w:val="9"/>
        </w:numPr>
        <w:spacing w:before="0" w:after="5" w:line="247" w:lineRule="auto"/>
        <w:ind w:left="1390" w:right="598" w:hanging="360"/>
      </w:pPr>
      <w:r>
        <w:rPr/>
        <w:t xml:space="preserve">Pour la période 2011</w:t>
      </w:r>
      <w:r>
        <w:rPr/>
        <w:t xml:space="preserve">-</w:t>
      </w:r>
      <w:r>
        <w:rPr/>
        <w:t xml:space="preserve">2015, la contribution du PNUD à la réalisation de l‟UNDAF se fera </w:t>
      </w:r>
      <w:r>
        <w:rPr/>
        <w:t xml:space="preserve"> </w:t>
      </w:r>
      <w:r>
        <w:rPr/>
        <w:t xml:space="preserve">à travers le Programme</w:t>
      </w:r>
      <w:r>
        <w:rPr/>
        <w:t xml:space="preserve"> </w:t>
      </w:r>
      <w:r>
        <w:rPr/>
        <w:t xml:space="preserve">de </w:t>
      </w:r>
      <w:r>
        <w:rPr/>
        <w:t xml:space="preserve"> </w:t>
      </w:r>
      <w:r>
        <w:rPr/>
        <w:t xml:space="preserve">Pays décliné en un plan d‟actions pour la mise en œuvre </w:t>
      </w:r>
      <w:r>
        <w:rPr/>
        <w:t xml:space="preserve"> </w:t>
      </w:r>
      <w:r>
        <w:rPr/>
        <w:t xml:space="preserve">du programme pays. Le Programme de Pays est articulé autour</w:t>
      </w:r>
      <w:r>
        <w:rPr/>
        <w:t xml:space="preserve"> </w:t>
      </w:r>
      <w:r>
        <w:rPr/>
        <w:t xml:space="preserve">de deux composantes</w:t>
      </w:r>
      <w:r>
        <w:rPr/>
        <w:t xml:space="preserve"> </w:t>
      </w:r>
      <w:r>
        <w:rPr/>
        <w:t xml:space="preserve">i) la</w:t>
      </w:r>
      <w:r>
        <w:rPr>
          <w:rFonts w:cs="Times New Roman" w:hAnsi="Times New Roman" w:eastAsia="Times New Roman" w:ascii="Times New Roman"/>
          <w:b w:val="1"/>
        </w:rPr>
        <w:t xml:space="preserve"> </w:t>
      </w:r>
      <w:r>
        <w:rPr/>
        <w:t xml:space="preserve">contribution</w:t>
      </w:r>
      <w:r>
        <w:rPr/>
        <w:t xml:space="preserve"> </w:t>
      </w:r>
      <w:r>
        <w:rPr/>
        <w:t xml:space="preserve">à l‟atteinte des OMD et à la réalisation d‟une croissance pro</w:t>
      </w:r>
      <w:r>
        <w:rPr/>
        <w:t xml:space="preserve">-</w:t>
      </w:r>
      <w:r>
        <w:rPr/>
        <w:t xml:space="preserve">pauvre et durable</w:t>
      </w:r>
      <w:r>
        <w:rPr/>
        <w:t xml:space="preserve"> </w:t>
      </w:r>
      <w:r>
        <w:rPr/>
        <w:t xml:space="preserve">et ii) le </w:t>
      </w:r>
      <w:r>
        <w:rPr/>
        <w:t xml:space="preserve"> </w:t>
      </w:r>
      <w:r>
        <w:rPr/>
        <w:t xml:space="preserve">renforcement de</w:t>
      </w:r>
      <w:r>
        <w:rPr/>
        <w:t xml:space="preserve"> </w:t>
      </w:r>
      <w:r>
        <w:rPr/>
        <w:t xml:space="preserve">la gouvernance. Il s‟appuie sur le plan stratégique du PNUD 2008 Ŕ</w:t>
      </w:r>
      <w:r>
        <w:rPr/>
        <w:t xml:space="preserve"> </w:t>
      </w:r>
      <w:r>
        <w:rPr/>
        <w:t xml:space="preserve">2013</w:t>
      </w:r>
      <w:r>
        <w:rPr/>
        <w:t xml:space="preserve"> </w:t>
      </w:r>
      <w:r>
        <w:rPr/>
        <w:t xml:space="preserve">et</w:t>
      </w:r>
      <w:r>
        <w:rPr/>
        <w:t xml:space="preserve"> </w:t>
      </w:r>
      <w:r>
        <w:rPr/>
        <w:t xml:space="preserve">constitue une réponse aux priorités nationales telles que délinées dans la SCADD</w:t>
      </w:r>
      <w:r>
        <w:rPr/>
        <w:t xml:space="preserve">.</w:t>
      </w:r>
      <w:r>
        <w:rPr/>
        <w:t xml:space="preserve"> </w:t>
      </w:r>
      <w:r>
        <w:rPr>
          <w:color w:val="ff0000"/>
        </w:rPr>
        <w:t xml:space="preserve"> </w:t>
      </w:r>
    </w:p>
    <w:p>
      <w:pPr>
        <w:spacing w:before="0" w:after="0" w:line="259" w:lineRule="auto"/>
        <w:ind w:left="1390" w:firstLine="0"/>
        <w:jc w:val="left"/>
      </w:pPr>
      <w:r>
        <w:rPr/>
        <w:t xml:space="preserve"> </w:t>
      </w:r>
    </w:p>
    <w:p>
      <w:pPr>
        <w:pStyle w:val="normal"/>
        <w:numPr>
          <w:ilvl w:val="0"/>
          <w:numId w:val="9"/>
        </w:numPr>
        <w:spacing w:before="0" w:after="5" w:line="247" w:lineRule="auto"/>
        <w:ind w:left="1390" w:right="598" w:hanging="360"/>
      </w:pPr>
      <w:r>
        <w:rPr/>
        <w:t xml:space="preserve">La composante</w:t>
      </w:r>
      <w:r>
        <w:rPr>
          <w:rFonts w:cs="Times New Roman" w:hAnsi="Times New Roman" w:eastAsia="Times New Roman" w:ascii="Times New Roman"/>
          <w:b w:val="1"/>
        </w:rPr>
        <w:t xml:space="preserve"> « </w:t>
      </w:r>
      <w:r>
        <w:rPr>
          <w:rFonts w:cs="Times New Roman" w:hAnsi="Times New Roman" w:eastAsia="Times New Roman" w:ascii="Times New Roman"/>
          <w:b w:val="1"/>
        </w:rPr>
        <w:t xml:space="preserve">Renforcement de la gouvernance</w:t>
      </w:r>
      <w:r>
        <w:rPr>
          <w:rFonts w:cs="Times New Roman" w:hAnsi="Times New Roman" w:eastAsia="Times New Roman" w:ascii="Times New Roman"/>
          <w:b w:val="1"/>
        </w:rPr>
        <w:t xml:space="preserve"> »</w:t>
      </w:r>
      <w:r>
        <w:rPr/>
        <w:t xml:space="preserve"> </w:t>
      </w:r>
      <w:r>
        <w:rPr/>
        <w:t xml:space="preserve">comprend trois sous programmes: (i) gouvernance politique; (ii) gouvernance économique; (iii) gouvernance locale et administrative.</w:t>
      </w:r>
      <w:r>
        <w:rPr/>
        <w:t xml:space="preserve"> </w:t>
      </w:r>
      <w:r>
        <w:rPr/>
        <w:t xml:space="preserve">La composante «</w:t>
      </w:r>
      <w:r>
        <w:rPr/>
        <w:t xml:space="preserve"> </w:t>
      </w:r>
      <w:r>
        <w:rPr>
          <w:rFonts w:cs="Times New Roman" w:hAnsi="Times New Roman" w:eastAsia="Times New Roman" w:ascii="Times New Roman"/>
          <w:b w:val="1"/>
        </w:rPr>
        <w:t xml:space="preserve">Réalisation des OMD et réduction de la pauvreté</w:t>
      </w:r>
      <w:r>
        <w:rPr>
          <w:rFonts w:cs="Times New Roman" w:hAnsi="Times New Roman" w:eastAsia="Times New Roman" w:ascii="Times New Roman"/>
          <w:b w:val="1"/>
        </w:rPr>
        <w:t xml:space="preserve"> » </w:t>
      </w:r>
      <w:r>
        <w:rPr/>
        <w:t xml:space="preserve">comprend les quatre sous programmes ci</w:t>
      </w:r>
      <w:r>
        <w:rPr/>
        <w:t xml:space="preserve">-</w:t>
      </w:r>
      <w:r>
        <w:rPr/>
        <w:t xml:space="preserve">après</w:t>
      </w:r>
      <w:r>
        <w:rPr/>
        <w:t xml:space="preserve"> </w:t>
      </w:r>
      <w:r>
        <w:rPr/>
        <w:t xml:space="preserve">: (i)</w:t>
      </w:r>
      <w:r>
        <w:rPr/>
        <w:t xml:space="preserve"> </w:t>
      </w:r>
      <w:r>
        <w:rPr/>
        <w:t xml:space="preserve">augmentation des revenus et promotion de l‟emploi décent</w:t>
      </w:r>
      <w:r>
        <w:rPr/>
        <w:t xml:space="preserve"> </w:t>
      </w:r>
      <w:r>
        <w:rPr/>
        <w:t xml:space="preserve">en faveur des femmes et des jeunes</w:t>
      </w:r>
      <w:r>
        <w:rPr/>
        <w:t xml:space="preserve"> </w:t>
      </w:r>
      <w:r>
        <w:rPr/>
        <w:t xml:space="preserve">; (ii)</w:t>
      </w:r>
      <w:r>
        <w:rPr/>
        <w:t xml:space="preserve"> </w:t>
      </w:r>
      <w:r>
        <w:rPr/>
        <w:t xml:space="preserve">lutte contre le VIH/SIDA</w:t>
      </w:r>
      <w:r>
        <w:rPr/>
        <w:t xml:space="preserve"> ; </w:t>
      </w:r>
      <w:r>
        <w:rPr/>
        <w:t xml:space="preserve">(iii) prévention et gestion des crises et des catastrophes ainsi que (iv) gestion durable de l‟environnement</w:t>
      </w:r>
      <w:r>
        <w:rPr/>
        <w:t xml:space="preserve">. </w:t>
      </w:r>
      <w:r>
        <w:rPr/>
        <w:t xml:space="preserve"> </w:t>
      </w:r>
    </w:p>
    <w:p>
      <w:pPr>
        <w:spacing w:before="0" w:after="0" w:line="259" w:lineRule="auto"/>
        <w:ind w:left="1390" w:firstLine="0"/>
        <w:jc w:val="left"/>
      </w:pPr>
      <w:r>
        <w:rPr>
          <w:rFonts w:cs="Arial" w:hAnsi="Arial" w:eastAsia="Arial" w:ascii="Arial"/>
        </w:rPr>
        <w:t xml:space="preserve"> </w:t>
      </w:r>
    </w:p>
    <w:p>
      <w:pPr>
        <w:pStyle w:val="normal"/>
        <w:numPr>
          <w:ilvl w:val="0"/>
          <w:numId w:val="9"/>
        </w:numPr>
        <w:spacing w:before="0" w:after="5" w:line="247" w:lineRule="auto"/>
        <w:ind w:left="1390" w:right="598" w:hanging="360"/>
      </w:pPr>
      <w:r>
        <w:rPr/>
        <w:t xml:space="preserve">Le sous</w:t>
      </w:r>
      <w:r>
        <w:rPr/>
        <w:t xml:space="preserve">-</w:t>
      </w:r>
      <w:r>
        <w:rPr/>
        <w:t xml:space="preserve">programme Gestion Durable de l‟Environnement se structure autour</w:t>
      </w:r>
      <w:r>
        <w:rPr/>
        <w:t xml:space="preserve"> </w:t>
      </w:r>
      <w:r>
        <w:rPr/>
        <w:t xml:space="preserve">de 4 volets</w:t>
      </w:r>
      <w:r>
        <w:rPr/>
        <w:t xml:space="preserve"> </w:t>
      </w:r>
      <w:r>
        <w:rPr/>
        <w:t xml:space="preserve">: a) le Mainstreaming de l‟environnement dans les politiques nationales</w:t>
      </w:r>
      <w:r>
        <w:rPr/>
        <w:t xml:space="preserve"> </w:t>
      </w:r>
      <w:r>
        <w:rPr/>
        <w:t xml:space="preserve">de développement notamment par le renforcement du lien pauvreté</w:t>
      </w:r>
      <w:r>
        <w:rPr/>
        <w:t xml:space="preserve">-</w:t>
      </w:r>
      <w:r>
        <w:rPr/>
        <w:t xml:space="preserve">environnement, b) </w:t>
      </w:r>
      <w:r>
        <w:rPr/>
        <w:t xml:space="preserve"> </w:t>
      </w:r>
      <w:r>
        <w:rPr/>
        <w:t xml:space="preserve">le</w:t>
      </w:r>
      <w:r>
        <w:rPr/>
        <w:t xml:space="preserve"> </w:t>
      </w:r>
      <w:r>
        <w:rPr/>
        <w:t xml:space="preserve">développement du</w:t>
      </w:r>
      <w:r>
        <w:rPr/>
        <w:t xml:space="preserve"> </w:t>
      </w:r>
      <w:r>
        <w:rPr/>
        <w:t xml:space="preserve">partenariat pour une gestion durable des terres, c) la prise de conscience des impacts des </w:t>
      </w:r>
      <w:r>
        <w:rPr/>
        <w:t xml:space="preserve"> </w:t>
      </w:r>
      <w:r>
        <w:rPr/>
        <w:t xml:space="preserve">Changements Climatiques</w:t>
      </w:r>
      <w:r>
        <w:rPr/>
        <w:t xml:space="preserve"> </w:t>
      </w:r>
      <w:r>
        <w:rPr/>
        <w:t xml:space="preserve">ainsi que des mesures d‟atténuation et d‟adaptation à mettre en œuvre, et d) la conservation et la valorisation de la biodiversité au profit des communautés.</w:t>
      </w:r>
      <w:r>
        <w:rPr>
          <w:color w:val="ff0000"/>
        </w:rPr>
        <w:t xml:space="preserve"> </w:t>
      </w:r>
    </w:p>
    <w:p>
      <w:pPr>
        <w:spacing w:before="0" w:after="4" w:line="259" w:lineRule="auto"/>
        <w:ind w:left="1390" w:firstLine="0"/>
        <w:jc w:val="left"/>
      </w:pPr>
      <w:r>
        <w:rPr/>
        <w:t xml:space="preserve"> </w:t>
      </w:r>
    </w:p>
    <w:p>
      <w:pPr>
        <w:pStyle w:val="normal"/>
        <w:numPr>
          <w:ilvl w:val="0"/>
          <w:numId w:val="9"/>
        </w:numPr>
        <w:spacing w:before="0" w:after="5" w:line="247" w:lineRule="auto"/>
        <w:ind w:left="1390" w:right="598" w:hanging="360"/>
      </w:pPr>
      <w:r>
        <w:rPr/>
        <w:t xml:space="preserve">Le présent projet s‟inscrit dans la mise en œuvre de ce</w:t>
      </w:r>
      <w:r>
        <w:rPr/>
        <w:t xml:space="preserve"> </w:t>
      </w:r>
      <w:r>
        <w:rPr/>
        <w:t xml:space="preserve">sous</w:t>
      </w:r>
      <w:r>
        <w:rPr/>
        <w:t xml:space="preserve">-</w:t>
      </w:r>
      <w:r>
        <w:rPr/>
        <w:t xml:space="preserve">programme </w:t>
      </w:r>
      <w:r>
        <w:rPr/>
        <w:t xml:space="preserve">« </w:t>
      </w:r>
      <w:r>
        <w:rPr/>
        <w:t xml:space="preserve">gestion durable de l‟environnement</w:t>
      </w:r>
      <w:r>
        <w:rPr/>
        <w:t xml:space="preserve"> »</w:t>
      </w:r>
      <w:r>
        <w:rPr/>
        <w:t xml:space="preserve">. Il complète le portefeuille  de projets lancés avant 2011 qui s‟inscrivent dans la mise en œuvre des principales conventions des Nations Unies</w:t>
      </w:r>
      <w:r>
        <w:rPr/>
        <w:t xml:space="preserve"> </w:t>
      </w:r>
      <w:r>
        <w:rPr/>
        <w:t xml:space="preserve">sur l‟environnement.</w:t>
      </w:r>
      <w:r>
        <w:rPr/>
        <w:t xml:space="preserve"> </w:t>
      </w:r>
      <w:r>
        <w:rPr>
          <w:rFonts w:cs="Times New Roman" w:hAnsi="Times New Roman" w:eastAsia="Times New Roman" w:ascii="Times New Roman"/>
          <w:i w:val="1"/>
        </w:rPr>
        <w:t xml:space="preserve">Les acquis</w:t>
      </w:r>
      <w:r>
        <w:rPr/>
        <w:t xml:space="preserve"> </w:t>
      </w:r>
      <w:r>
        <w:rPr/>
        <w:t xml:space="preserve">du cycle précédent tiennent au fait qu‟un éventail large et diversifié de projets a</w:t>
      </w:r>
      <w:r>
        <w:rPr/>
        <w:t xml:space="preserve"> </w:t>
      </w:r>
      <w:r>
        <w:rPr/>
        <w:t xml:space="preserve">été mis en œuvre</w:t>
      </w:r>
      <w:r>
        <w:rPr/>
        <w:t xml:space="preserve">. </w:t>
      </w:r>
      <w:r>
        <w:rPr/>
        <w:t xml:space="preserve">Ces projets ont permis de mettre en place les bases de futures interventions à travers le renforcement du cadre institutionnel</w:t>
      </w:r>
      <w:r>
        <w:rPr/>
        <w:t xml:space="preserve"> </w:t>
      </w:r>
      <w:r>
        <w:rPr/>
        <w:t xml:space="preserve">au niveau central, l‟actualisation des</w:t>
      </w:r>
      <w:r>
        <w:rPr/>
        <w:t xml:space="preserve"> </w:t>
      </w:r>
      <w:r>
        <w:rPr/>
        <w:t xml:space="preserve">instruments juridiques</w:t>
      </w:r>
      <w:r>
        <w:rPr/>
        <w:t xml:space="preserve">  </w:t>
      </w:r>
      <w:r>
        <w:rPr/>
        <w:t xml:space="preserve">et</w:t>
      </w:r>
      <w:r>
        <w:rPr/>
        <w:t xml:space="preserve"> </w:t>
      </w:r>
      <w:r>
        <w:rPr/>
        <w:t xml:space="preserve">la définition des orientations</w:t>
      </w:r>
      <w:r>
        <w:rPr/>
        <w:t xml:space="preserve"> </w:t>
      </w:r>
      <w:r>
        <w:rPr/>
        <w:t xml:space="preserve">dans le domaine de l‟environnement</w:t>
      </w:r>
      <w:r>
        <w:rPr/>
        <w:t xml:space="preserve">. </w:t>
      </w:r>
      <w:r>
        <w:rPr/>
        <w:t xml:space="preserve">Le portefeuille environnement dans le cycle précédent était</w:t>
      </w:r>
      <w:r>
        <w:rPr/>
        <w:t xml:space="preserve"> </w:t>
      </w:r>
      <w:r>
        <w:rPr/>
        <w:t xml:space="preserve">cependant marqué par une prépondérance de financement FEM</w:t>
      </w:r>
      <w:r>
        <w:rPr/>
        <w:t xml:space="preserve"> </w:t>
      </w:r>
      <w:r>
        <w:rPr/>
        <w:t xml:space="preserve">et</w:t>
      </w:r>
      <w:r>
        <w:rPr/>
        <w:t xml:space="preserve"> </w:t>
      </w:r>
      <w:r>
        <w:rPr/>
        <w:t xml:space="preserve">des</w:t>
      </w:r>
      <w:r>
        <w:rPr/>
        <w:t xml:space="preserve"> </w:t>
      </w:r>
      <w:r>
        <w:rPr/>
        <w:t xml:space="preserve">articulations insuffisantes entre les</w:t>
      </w:r>
      <w:r>
        <w:rPr/>
        <w:t xml:space="preserve"> </w:t>
      </w:r>
      <w:r>
        <w:rPr/>
        <w:t xml:space="preserve">projets</w:t>
      </w:r>
      <w:r>
        <w:rPr/>
        <w:t xml:space="preserve">.</w:t>
      </w:r>
      <w:r>
        <w:rPr/>
        <w:t xml:space="preserve"> </w:t>
      </w:r>
      <w:r>
        <w:rPr/>
        <w:t xml:space="preserve">Il a manqué par ailleurs une approche de type processus pour le renforcement de la gouvernance environnementale au niveau des collectivités territoriales</w:t>
      </w:r>
      <w:r>
        <w:rPr/>
        <w:t xml:space="preserve"> </w:t>
      </w:r>
      <w:r>
        <w:rPr/>
        <w:t xml:space="preserve">qui ont pourtant vocation à jouer un rôle majeur dans la gestion de l‟environnement.</w:t>
      </w:r>
      <w:r>
        <w:rPr/>
        <w:t xml:space="preserve"> </w:t>
      </w:r>
    </w:p>
    <w:p>
      <w:pPr>
        <w:spacing w:before="0" w:after="10" w:line="259" w:lineRule="auto"/>
        <w:ind w:left="1390" w:firstLine="0"/>
        <w:jc w:val="left"/>
      </w:pPr>
      <w:r>
        <w:rPr/>
        <w:t xml:space="preserve"> </w:t>
      </w:r>
    </w:p>
    <w:p>
      <w:pPr>
        <w:pStyle w:val="heading4"/>
        <w:spacing w:before="0" w:after="15" w:line="248" w:lineRule="auto"/>
        <w:ind w:left="1038"/>
      </w:pPr>
      <w:r>
        <w:rPr>
          <w:rFonts w:cs="Times New Roman" w:hAnsi="Times New Roman" w:eastAsia="Times New Roman" w:ascii="Times New Roman"/>
          <w:b w:val="1"/>
          <w:u w:val="none" w:color="000000"/>
        </w:rPr>
        <w:t xml:space="preserve">1.3.2.</w:t>
      </w:r>
      <w:r>
        <w:rPr>
          <w:rFonts w:cs="Arial" w:hAnsi="Arial" w:eastAsia="Arial" w:ascii="Arial"/>
          <w:b w:val="1"/>
          <w:u w:val="none" w:color="000000"/>
        </w:rPr>
        <w:t xml:space="preserve"> </w:t>
      </w:r>
      <w:r>
        <w:rPr>
          <w:rFonts w:cs="Times New Roman" w:hAnsi="Times New Roman" w:eastAsia="Times New Roman" w:ascii="Times New Roman"/>
          <w:b w:val="1"/>
          <w:u w:val="none" w:color="000000"/>
        </w:rPr>
        <w:t xml:space="preserve">Les priorités du</w:t>
      </w:r>
      <w:r>
        <w:rPr>
          <w:rFonts w:cs="Times New Roman" w:hAnsi="Times New Roman" w:eastAsia="Times New Roman" w:ascii="Times New Roman"/>
          <w:b w:val="1"/>
          <w:u w:val="none" w:color="000000"/>
        </w:rPr>
        <w:t xml:space="preserve"> </w:t>
      </w:r>
      <w:r>
        <w:rPr>
          <w:rFonts w:cs="Times New Roman" w:hAnsi="Times New Roman" w:eastAsia="Times New Roman" w:ascii="Times New Roman"/>
          <w:b w:val="1"/>
          <w:u w:val="none" w:color="000000"/>
        </w:rPr>
        <w:t xml:space="preserve">PNUD dans le domaine de l’environnement pour la période </w:t>
      </w:r>
      <w:r>
        <w:rPr>
          <w:rFonts w:cs="Times New Roman" w:hAnsi="Times New Roman" w:eastAsia="Times New Roman" w:ascii="Times New Roman"/>
          <w:b w:val="1"/>
          <w:u w:val="none" w:color="000000"/>
        </w:rPr>
        <w:t xml:space="preserve">2011</w:t>
      </w:r>
      <w:r>
        <w:rPr>
          <w:rFonts w:cs="Times New Roman" w:hAnsi="Times New Roman" w:eastAsia="Times New Roman" w:ascii="Times New Roman"/>
          <w:b w:val="1"/>
          <w:u w:val="none" w:color="000000"/>
        </w:rPr>
        <w:t xml:space="preserve">-</w:t>
      </w:r>
      <w:r>
        <w:rPr>
          <w:rFonts w:cs="Times New Roman" w:hAnsi="Times New Roman" w:eastAsia="Times New Roman" w:ascii="Times New Roman"/>
          <w:b w:val="1"/>
          <w:u w:val="none" w:color="000000"/>
        </w:rPr>
        <w:t xml:space="preserve">2015</w:t>
      </w:r>
      <w:r>
        <w:rPr>
          <w:rFonts w:cs="Times New Roman" w:hAnsi="Times New Roman" w:eastAsia="Times New Roman" w:ascii="Times New Roman"/>
          <w:b w:val="1"/>
          <w:u w:val="none" w:color="000000"/>
        </w:rPr>
        <w:t xml:space="preserve"> </w:t>
      </w:r>
    </w:p>
    <w:p>
      <w:pPr>
        <w:spacing w:before="0" w:after="0" w:line="259" w:lineRule="auto"/>
        <w:ind w:left="1390" w:firstLine="0"/>
        <w:jc w:val="left"/>
      </w:pPr>
      <w:r>
        <w:rPr/>
        <w:t xml:space="preserve"> </w:t>
      </w:r>
    </w:p>
    <w:p>
      <w:pPr>
        <w:pStyle w:val="normal"/>
        <w:numPr>
          <w:ilvl w:val="0"/>
          <w:numId w:val="10"/>
        </w:numPr>
        <w:spacing w:before="0" w:after="5" w:line="247" w:lineRule="auto"/>
        <w:ind w:left="1390" w:right="598" w:hanging="360"/>
      </w:pPr>
      <w:r>
        <w:rPr>
          <w:rFonts w:cs="Times New Roman" w:hAnsi="Times New Roman" w:eastAsia="Times New Roman" w:ascii="Times New Roman"/>
          <w:b w:val="1"/>
          <w:i w:val="1"/>
        </w:rPr>
        <w:t xml:space="preserve">Le mainstreaming</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de l’environnement dans la planification du</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développement</w:t>
      </w:r>
      <w:r>
        <w:rPr>
          <w:rFonts w:cs="Times New Roman" w:hAnsi="Times New Roman" w:eastAsia="Times New Roman" w:ascii="Times New Roman"/>
          <w:i w:val="1"/>
        </w:rPr>
        <w:t xml:space="preserve">. </w:t>
      </w:r>
      <w:r>
        <w:rPr/>
        <w:t xml:space="preserve">La période </w:t>
      </w:r>
      <w:r>
        <w:rPr/>
        <w:t xml:space="preserve">2011</w:t>
      </w:r>
      <w:r>
        <w:rPr/>
        <w:t xml:space="preserve">-</w:t>
      </w:r>
      <w:r>
        <w:rPr/>
        <w:t xml:space="preserve">2015 sera marquée par la réalisation</w:t>
      </w:r>
      <w:r>
        <w:rPr/>
        <w:t xml:space="preserve"> </w:t>
      </w:r>
      <w:r>
        <w:rPr/>
        <w:t xml:space="preserve">des programmes et l‟élaboration de politiques sectorielles et de plans régionaux de développement qui permettront d‟opérationnaliser la SCADD. Sur cette période certains départements ministériels s‟engageront dans des processus de programmation pour s‟inscrire dans l‟approche budget</w:t>
      </w:r>
      <w:r>
        <w:rPr/>
        <w:t xml:space="preserve">-</w:t>
      </w:r>
      <w:r>
        <w:rPr/>
        <w:t xml:space="preserve">programme. Les autorités nationales ont choisi de faire de la SCADD</w:t>
      </w:r>
      <w:r>
        <w:rPr/>
        <w:t xml:space="preserve">,</w:t>
      </w:r>
      <w:r>
        <w:rPr/>
        <w:t xml:space="preserve"> </w:t>
      </w:r>
      <w:r>
        <w:rPr/>
        <w:t xml:space="preserve">la Stratégie Nationale de Développement Durable (SNDD).</w:t>
      </w:r>
      <w:r>
        <w:rPr/>
        <w:t xml:space="preserve"> </w:t>
      </w:r>
      <w:r>
        <w:rPr/>
        <w:t xml:space="preserve">Le choix de concrétiser la SCADD au niveau régional à travers les plans régionaux de développement et d‟élaborer un Programme National du Secteur Rural offre aussi l‟opportunité de consolider l‟intégration de l‟environnement dans</w:t>
      </w:r>
      <w:r>
        <w:rPr/>
        <w:t xml:space="preserve"> </w:t>
      </w:r>
      <w:r>
        <w:rPr/>
        <w:t xml:space="preserve">la planification locale.</w:t>
      </w:r>
      <w:r>
        <w:rPr/>
        <w:t xml:space="preserve">  </w:t>
      </w:r>
    </w:p>
    <w:p>
      <w:pPr>
        <w:spacing w:before="0" w:after="0" w:line="259" w:lineRule="auto"/>
        <w:ind w:left="1390" w:firstLine="0"/>
        <w:jc w:val="left"/>
      </w:pPr>
      <w:r>
        <w:rPr/>
        <w:t xml:space="preserve"> </w:t>
      </w:r>
    </w:p>
    <w:p>
      <w:pPr>
        <w:pStyle w:val="normal"/>
        <w:numPr>
          <w:ilvl w:val="0"/>
          <w:numId w:val="10"/>
        </w:numPr>
        <w:spacing w:before="0" w:after="5" w:line="247" w:lineRule="auto"/>
        <w:ind w:left="1390" w:right="598" w:hanging="360"/>
      </w:pPr>
      <w:r>
        <w:rPr>
          <w:rFonts w:cs="Times New Roman" w:hAnsi="Times New Roman" w:eastAsia="Times New Roman" w:ascii="Times New Roman"/>
          <w:b w:val="1"/>
          <w:i w:val="1"/>
        </w:rPr>
        <w:t xml:space="preserve">La gestion durable des terres.</w:t>
      </w:r>
      <w:r>
        <w:rPr/>
        <w:t xml:space="preserve"> </w:t>
      </w:r>
      <w:r>
        <w:rPr/>
        <w:t xml:space="preserve">Pour la</w:t>
      </w:r>
      <w:r>
        <w:rPr/>
        <w:t xml:space="preserve"> </w:t>
      </w:r>
      <w:r>
        <w:rPr/>
        <w:t xml:space="preserve">période 2011</w:t>
      </w:r>
      <w:r>
        <w:rPr/>
        <w:t xml:space="preserve">-</w:t>
      </w:r>
      <w:r>
        <w:rPr/>
        <w:t xml:space="preserve">2015, le défi du Programme</w:t>
      </w:r>
      <w:r>
        <w:rPr/>
        <w:t xml:space="preserve"> </w:t>
      </w:r>
      <w:r>
        <w:rPr/>
        <w:t xml:space="preserve">de Pays</w:t>
      </w:r>
      <w:r>
        <w:rPr/>
        <w:t xml:space="preserve"> </w:t>
      </w:r>
      <w:r>
        <w:rPr/>
        <w:t xml:space="preserve">est de diversifier les partenariats dans la coordination et le financement de la gestion durable des terres</w:t>
      </w:r>
      <w:r>
        <w:rPr/>
        <w:t xml:space="preserve">. </w:t>
      </w:r>
      <w:r>
        <w:rPr/>
        <w:t xml:space="preserve">Le processus</w:t>
      </w:r>
      <w:r>
        <w:rPr/>
        <w:t xml:space="preserve"> </w:t>
      </w:r>
      <w:r>
        <w:rPr/>
        <w:t xml:space="preserve">d‟élaboration du PNSR constitue une opportunité majeure pour réaliser cet objectif stratégique, améliorer le cadre juridique et institutionnel et renforcer la diffusion des bonnes pratiques de gestion des terres</w:t>
      </w:r>
      <w:r>
        <w:rPr/>
        <w:t xml:space="preserve">.</w:t>
      </w:r>
      <w:r>
        <w:rPr/>
        <w:t xml:space="preserve"> </w:t>
      </w:r>
    </w:p>
    <w:p>
      <w:pPr>
        <w:spacing w:before="0" w:after="80" w:line="259" w:lineRule="auto"/>
        <w:ind w:left="1390" w:firstLine="0"/>
        <w:jc w:val="left"/>
      </w:pPr>
      <w:r>
        <w:rPr>
          <w:sz w:val="16"/>
        </w:rPr>
        <w:t xml:space="preserve"> </w:t>
      </w:r>
    </w:p>
    <w:p>
      <w:pPr>
        <w:pStyle w:val="normal"/>
        <w:numPr>
          <w:ilvl w:val="0"/>
          <w:numId w:val="10"/>
        </w:numPr>
        <w:spacing w:before="0" w:after="5" w:line="247" w:lineRule="auto"/>
        <w:ind w:left="1390" w:right="598" w:hanging="360"/>
      </w:pPr>
      <w:r>
        <w:rPr>
          <w:rFonts w:cs="Times New Roman" w:hAnsi="Times New Roman" w:eastAsia="Times New Roman" w:ascii="Times New Roman"/>
          <w:b w:val="1"/>
          <w:i w:val="1"/>
        </w:rPr>
        <w:t xml:space="preserve">La Conservation et la valorisation de la diversité biologique</w:t>
      </w:r>
      <w:r>
        <w:rPr>
          <w:rFonts w:cs="Times New Roman" w:hAnsi="Times New Roman" w:eastAsia="Times New Roman" w:ascii="Times New Roman"/>
          <w:i w:val="1"/>
        </w:rPr>
        <w:t xml:space="preserve">. </w:t>
      </w:r>
      <w:r>
        <w:rPr/>
        <w:t xml:space="preserve">Le défi majeur est d‟établir des mécanismes au niveau décentralisé pour promouvoir l‟adaptation basée sur la gestion des écosystèmes</w:t>
      </w:r>
      <w:r>
        <w:rPr/>
        <w:t xml:space="preserve"> </w:t>
      </w:r>
      <w:r>
        <w:rPr/>
        <w:t xml:space="preserve">et de renforcer et assurer un meilleur partage des bénéfices de la valorisation des ressources biologiques pour les communautés riveraines et les collectivités territoriales.</w:t>
      </w:r>
      <w:r>
        <w:rPr/>
        <w:t xml:space="preserve"> </w:t>
      </w:r>
    </w:p>
    <w:p>
      <w:pPr>
        <w:spacing w:before="0" w:after="0" w:line="259" w:lineRule="auto"/>
        <w:ind w:left="1040" w:firstLine="0"/>
        <w:jc w:val="left"/>
      </w:pPr>
      <w:r>
        <w:rPr>
          <w:rFonts w:cs="Times New Roman" w:hAnsi="Times New Roman" w:eastAsia="Times New Roman" w:ascii="Times New Roman"/>
          <w:i w:val="1"/>
        </w:rPr>
        <w:t xml:space="preserve"> </w:t>
      </w:r>
    </w:p>
    <w:p>
      <w:pPr>
        <w:numPr>
          <w:ilvl w:val="0"/>
          <w:numId w:val="10"/>
        </w:numPr>
        <w:spacing w:before="0" w:after="4" w:line="251" w:lineRule="auto"/>
        <w:ind w:left="1390" w:right="598" w:hanging="360"/>
      </w:pPr>
      <w:r>
        <w:rPr>
          <w:rFonts w:cs="Times New Roman" w:hAnsi="Times New Roman" w:eastAsia="Times New Roman" w:ascii="Times New Roman"/>
          <w:b w:val="1"/>
          <w:i w:val="1"/>
        </w:rPr>
        <w:t xml:space="preserve">L’atténuation et l’adaptation aux</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changements</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climatiques</w:t>
      </w:r>
      <w:r>
        <w:rPr/>
        <w:t xml:space="preserve">.</w:t>
      </w:r>
      <w:r>
        <w:rPr/>
        <w:t xml:space="preserve"> </w:t>
      </w:r>
    </w:p>
    <w:p>
      <w:pPr>
        <w:pStyle w:val="normal"/>
        <w:spacing w:before="0" w:after="5" w:line="247" w:lineRule="auto"/>
        <w:ind w:left="1400" w:right="598"/>
      </w:pPr>
      <w:r>
        <w:rPr/>
        <w:t xml:space="preserve">Les défis majeurs pour la période 2011</w:t>
      </w:r>
      <w:r>
        <w:rPr/>
        <w:t xml:space="preserve">-</w:t>
      </w:r>
      <w:r>
        <w:rPr/>
        <w:t xml:space="preserve">2015 résident dans la diffusion des bonnes pratiques et le renforcement de l‟offre de services aux différents programmes et projets de développement et aux acteurs des collectivités territoriales</w:t>
      </w:r>
      <w:r>
        <w:rPr/>
        <w:t xml:space="preserve"> </w:t>
      </w:r>
      <w:r>
        <w:rPr/>
        <w:t xml:space="preserve">pour améliorer leurs</w:t>
      </w:r>
      <w:r>
        <w:rPr/>
        <w:t xml:space="preserve"> </w:t>
      </w:r>
      <w:r>
        <w:rPr/>
        <w:t xml:space="preserve">capacités à identifier, planifier  et mettre en œuvre les mesures d‟adaptation et d‟atténuation face aux</w:t>
      </w:r>
      <w:r>
        <w:rPr/>
        <w:t xml:space="preserve"> </w:t>
      </w:r>
      <w:r>
        <w:rPr/>
        <w:t xml:space="preserve">changements climatiques. Le renforcement de l‟approche programmatique et la mise en place de mécanismes de financement permettant d‟assurer les impacts des projets au niveau des communautés de base sont</w:t>
      </w:r>
      <w:r>
        <w:rPr/>
        <w:t xml:space="preserve"> </w:t>
      </w:r>
      <w:r>
        <w:rPr/>
        <w:t xml:space="preserve">des enjeux importants</w:t>
      </w:r>
      <w:r>
        <w:rPr/>
        <w:t xml:space="preserve">.</w:t>
      </w:r>
      <w:r>
        <w:rPr/>
        <w:t xml:space="preserve"> </w:t>
      </w:r>
    </w:p>
    <w:p>
      <w:pPr>
        <w:spacing w:before="0" w:after="216" w:line="259" w:lineRule="auto"/>
        <w:ind w:left="1040" w:firstLine="0"/>
        <w:jc w:val="left"/>
      </w:pPr>
      <w:r>
        <w:rPr/>
        <w:t xml:space="preserve"> </w:t>
      </w:r>
    </w:p>
    <w:p>
      <w:pPr>
        <w:spacing w:before="0" w:after="2" w:line="244" w:lineRule="auto"/>
        <w:ind w:left="319" w:right="589" w:firstLine="0"/>
      </w:pPr>
      <w:r>
        <w:rPr>
          <w:rFonts w:cs="Times New Roman" w:hAnsi="Times New Roman" w:eastAsia="Times New Roman" w:ascii="Times New Roman"/>
          <w:i w:val="1"/>
        </w:rPr>
        <w:t xml:space="preserve">Les caractéristiques des initiatives ci</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dessus présentées</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montrent</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bien que les interventions actuelles dans le domaine de l’environnement ont privilégié une approche sectorielle,</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l’intégration de l’environnement dans les plans nationaux de développement</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et le renforcement des dispositifs centraux de gestion de l’environnement</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Bien que certains programmes aient prévu</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des actions de renforcement de capacités des acteurs des collectivités</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(PANA, CPP, IPE),</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il manque un dispositif ou une approche</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d’accompagnement à moyen ou long terme des acteurs des collectivités dans la gestion de l’environnement notamment dans la gestion des opportunités et risques liés changements climatiques. La faiblesse des capacités institutionnelles de gestion des changements climatiques au niveau décentralisé limite considérablement les impacts des programmes nationaux sur les communautés de base.  </w:t>
      </w:r>
      <w:r>
        <w:rPr>
          <w:rFonts w:cs="Times New Roman" w:hAnsi="Times New Roman" w:eastAsia="Times New Roman" w:ascii="Times New Roman"/>
          <w:i w:val="1"/>
        </w:rPr>
        <w:t xml:space="preserve"> </w:t>
      </w:r>
    </w:p>
    <w:p>
      <w:pPr>
        <w:spacing w:before="0" w:after="213" w:line="259" w:lineRule="auto"/>
        <w:ind w:left="1040" w:firstLine="0"/>
        <w:jc w:val="left"/>
      </w:pPr>
      <w:r>
        <w:rPr/>
        <w:t xml:space="preserve"> </w:t>
      </w:r>
    </w:p>
    <w:p>
      <w:pPr>
        <w:pStyle w:val="normal"/>
        <w:spacing w:before="0" w:after="225" w:line="247" w:lineRule="auto"/>
        <w:ind w:left="329" w:right="598"/>
      </w:pPr>
      <w:r>
        <w:rPr/>
        <w:t xml:space="preserve">Pour assurer</w:t>
      </w:r>
      <w:r>
        <w:rPr/>
        <w:t xml:space="preserve"> </w:t>
      </w:r>
      <w:r>
        <w:rPr/>
        <w:t xml:space="preserve">une plus</w:t>
      </w:r>
      <w:r>
        <w:rPr/>
        <w:t xml:space="preserve">-</w:t>
      </w:r>
      <w:r>
        <w:rPr/>
        <w:t xml:space="preserve">value par rapport au portefeuille de projets en cours</w:t>
      </w:r>
      <w:r>
        <w:rPr/>
        <w:t xml:space="preserve"> </w:t>
      </w:r>
      <w:r>
        <w:rPr/>
        <w:t xml:space="preserve">et</w:t>
      </w:r>
      <w:r>
        <w:rPr/>
        <w:t xml:space="preserve"> </w:t>
      </w:r>
      <w:r>
        <w:rPr/>
        <w:t xml:space="preserve">prendre en charge les défis émergents en tenant compte des avantages comparatifs du PNUD, cette</w:t>
      </w:r>
      <w:r>
        <w:rPr/>
        <w:t xml:space="preserve"> </w:t>
      </w:r>
      <w:r>
        <w:rPr/>
        <w:t xml:space="preserve">nouvelle intervention cible l‟interface entre les mécanismes nationaux et les dispositifs</w:t>
      </w:r>
      <w:r>
        <w:rPr/>
        <w:t xml:space="preserve"> </w:t>
      </w:r>
      <w:r>
        <w:rPr/>
        <w:t xml:space="preserve">décentralisés et vise le renforcement des capacités des acteurs des collectivités dans la gestion des opportunités et risques</w:t>
      </w:r>
      <w:r>
        <w:rPr/>
        <w:t xml:space="preserve"> </w:t>
      </w:r>
      <w:r>
        <w:rPr/>
        <w:t xml:space="preserve">liés aux changements</w:t>
      </w:r>
      <w:r>
        <w:rPr/>
        <w:t xml:space="preserve">. </w:t>
      </w:r>
      <w:r>
        <w:rPr/>
        <w:t xml:space="preserve">Le présent projet fait </w:t>
      </w:r>
      <w:r>
        <w:rPr/>
        <w:t xml:space="preserve"> </w:t>
      </w:r>
      <w:r>
        <w:rPr/>
        <w:t xml:space="preserve">un focus sur les défis des changements climatiques</w:t>
      </w:r>
      <w:r>
        <w:rPr/>
        <w:t xml:space="preserve"> </w:t>
      </w:r>
      <w:r>
        <w:rPr/>
        <w:t xml:space="preserve">et le mainstreaming</w:t>
      </w:r>
      <w:r>
        <w:rPr/>
        <w:t xml:space="preserve"> </w:t>
      </w:r>
      <w:r>
        <w:rPr/>
        <w:t xml:space="preserve">mais il contribuera aussi sur</w:t>
      </w:r>
      <w:r>
        <w:rPr/>
        <w:t xml:space="preserve"> </w:t>
      </w:r>
      <w:r>
        <w:rPr/>
        <w:t xml:space="preserve">les deux</w:t>
      </w:r>
      <w:r>
        <w:rPr/>
        <w:t xml:space="preserve"> </w:t>
      </w:r>
      <w:r>
        <w:rPr/>
        <w:t xml:space="preserve">autres champs de défis que le PNUD cible pour la période 2011</w:t>
      </w:r>
      <w:r>
        <w:rPr/>
        <w:t xml:space="preserve">-</w:t>
      </w:r>
      <w:r>
        <w:rPr/>
        <w:t xml:space="preserve">2015. </w:t>
      </w:r>
      <w:r>
        <w:rPr/>
        <w:t xml:space="preserve"> </w:t>
      </w:r>
    </w:p>
    <w:p>
      <w:pPr>
        <w:spacing w:before="0" w:after="0" w:line="259" w:lineRule="auto"/>
        <w:ind w:left="319" w:firstLine="0"/>
        <w:jc w:val="left"/>
      </w:pPr>
      <w:r>
        <w:rPr/>
        <w:t xml:space="preserve"> 	 </w:t>
      </w:r>
    </w:p>
    <w:p>
      <w:pPr>
        <w:pStyle w:val="heading2"/>
        <w:spacing w:before="0" w:after="13" w:line="248" w:lineRule="auto"/>
        <w:ind w:left="314"/>
      </w:pPr>
      <w:r>
        <w:rPr/>
        <w:t xml:space="preserve">SECTION</w:t>
      </w:r>
      <w:r>
        <w:rPr/>
        <w:t xml:space="preserve"> </w:t>
      </w:r>
      <w:r>
        <w:rPr/>
        <w:t xml:space="preserve">II</w:t>
      </w:r>
      <w:r>
        <w:rPr/>
        <w:t xml:space="preserve"> </w:t>
      </w:r>
      <w:r>
        <w:rPr/>
        <w:t xml:space="preserve">: </w:t>
      </w:r>
      <w:r>
        <w:rPr/>
        <w:t xml:space="preserve">OBJETCIFS,</w:t>
      </w:r>
      <w:r>
        <w:rPr/>
        <w:t xml:space="preserve"> </w:t>
      </w:r>
      <w:r>
        <w:rPr/>
        <w:t xml:space="preserve">STRATEGIE, RESULTATS</w:t>
      </w:r>
      <w:r>
        <w:rPr/>
        <w:t xml:space="preserve"> </w:t>
      </w:r>
      <w:r>
        <w:rPr/>
        <w:t xml:space="preserve">ATTENDUS</w:t>
      </w:r>
      <w:r>
        <w:rPr/>
        <w:t xml:space="preserve"> </w:t>
      </w:r>
      <w:r>
        <w:rPr/>
        <w:t xml:space="preserve">ET ACTIVITES</w:t>
      </w:r>
      <w:r>
        <w:rPr/>
        <w:t xml:space="preserve"> </w:t>
      </w:r>
    </w:p>
    <w:p>
      <w:pPr>
        <w:spacing w:before="0" w:after="0" w:line="259" w:lineRule="auto"/>
        <w:ind w:left="319" w:firstLine="0"/>
        <w:jc w:val="left"/>
      </w:pPr>
      <w:r>
        <w:rPr/>
        <w:t xml:space="preserve"> </w:t>
      </w:r>
    </w:p>
    <w:p>
      <w:pPr>
        <w:pStyle w:val="normal"/>
        <w:spacing w:before="0" w:after="242" w:line="247" w:lineRule="auto"/>
        <w:ind w:left="329" w:right="598"/>
      </w:pPr>
      <w:r>
        <w:rPr/>
        <w:t xml:space="preserve">L‟objectif  du projet est de renforcer au sein</w:t>
      </w:r>
      <w:r>
        <w:rPr/>
        <w:t xml:space="preserve"> </w:t>
      </w:r>
      <w:r>
        <w:rPr/>
        <w:t xml:space="preserve">des collectivités territoriales, les capacités des acteurs publics et privés à gérer efficacement les risques et les opportunités liés aux changements dans la perspective de la croissance accélérée et de la réduction de la pauvreté</w:t>
      </w:r>
      <w:r>
        <w:rPr/>
        <w:t xml:space="preserve">.</w:t>
      </w:r>
      <w:r>
        <w:rPr/>
        <w:t xml:space="preserve">  </w:t>
      </w:r>
    </w:p>
    <w:p>
      <w:pPr>
        <w:spacing w:before="0" w:after="0" w:line="259" w:lineRule="auto"/>
        <w:ind w:left="319" w:firstLine="0"/>
        <w:jc w:val="left"/>
      </w:pPr>
      <w:r>
        <w:rPr>
          <w:sz w:val="24"/>
        </w:rPr>
        <w:t xml:space="preserve"> </w:t>
      </w:r>
    </w:p>
    <w:p>
      <w:pPr>
        <w:pStyle w:val="heading3"/>
        <w:spacing w:before="0" w:after="10" w:line="249" w:lineRule="auto"/>
        <w:ind w:left="329"/>
      </w:pPr>
      <w:r>
        <w:rPr/>
        <w:t xml:space="preserve">2.1. </w:t>
      </w:r>
      <w:r>
        <w:rPr/>
        <w:t xml:space="preserve">Orientations stratégiques</w:t>
      </w:r>
      <w:r>
        <w:rPr/>
        <w:t xml:space="preserve">  </w:t>
      </w:r>
    </w:p>
    <w:p>
      <w:pPr>
        <w:pStyle w:val="normal"/>
        <w:spacing w:before="0" w:after="237" w:line="247" w:lineRule="auto"/>
        <w:ind w:left="329" w:right="598"/>
      </w:pPr>
      <w:r>
        <w:rPr/>
        <w:t xml:space="preserve">La stratégie d‟intervention reposera essentiellement sur le renforcement des articulations entre les niveaux national et local et le développement des capacités au niveau des collectivités territoriales. Le renforcement des capacités au niveau des collectivités territoriales s‟appuiera sur une plate</w:t>
      </w:r>
      <w:r>
        <w:rPr/>
        <w:t xml:space="preserve">-</w:t>
      </w:r>
      <w:r>
        <w:rPr/>
        <w:t xml:space="preserve">forme  de dialogue multi</w:t>
      </w:r>
      <w:r>
        <w:rPr/>
        <w:t xml:space="preserve">-</w:t>
      </w:r>
      <w:r>
        <w:rPr/>
        <w:t xml:space="preserve">acteurs pour catalyser l‟apprentissage collectif, l‟intégration des défis des changements climatiques dans la planification locale, améliorer l‟accès au financement</w:t>
      </w:r>
      <w:r>
        <w:rPr/>
        <w:t xml:space="preserve"> </w:t>
      </w:r>
      <w:r>
        <w:rPr/>
        <w:t xml:space="preserve">et assurer la</w:t>
      </w:r>
      <w:r>
        <w:rPr/>
        <w:t xml:space="preserve"> </w:t>
      </w:r>
      <w:r>
        <w:rPr/>
        <w:t xml:space="preserve">mise en œuvre efficace des projets. Le schéma qui suit illustre cette stratégie. </w:t>
      </w:r>
      <w:r>
        <w:rPr/>
        <w:t xml:space="preserve">   </w:t>
      </w:r>
    </w:p>
    <w:p>
      <w:pPr>
        <w:spacing w:before="0" w:after="0" w:line="259" w:lineRule="auto"/>
        <w:ind w:left="319" w:firstLine="0"/>
        <w:jc w:val="left"/>
      </w:pPr>
      <w:r>
        <w:rPr>
          <w:sz w:val="24"/>
        </w:rPr>
        <w:t xml:space="preserve"> </w:t>
      </w:r>
    </w:p>
    <w:p>
      <w:pPr>
        <w:spacing w:before="0" w:after="0" w:line="259" w:lineRule="auto"/>
        <w:ind w:left="0" w:right="496" w:firstLine="0"/>
        <w:jc w:val="center"/>
      </w:pPr>
      <w:r>
        <w:drawing>
          <wp:inline distT="0" distB="0" distL="0" distR="0">
            <wp:extent cx="3465195" cy="3195955"/>
            <wp:effectExtent l="0" t="0" r="0" b="0"/>
            <wp:docPr id="23653" name="Picture 23653"/>
            <wp:cNvGraphicFramePr/>
            <a:graphic>
              <a:graphicData uri="http://schemas.openxmlformats.org/drawingml/2006/picture">
                <pic:pic xmlns:pic="http://schemas.openxmlformats.org/drawingml/2006/picture">
                  <pic:nvPicPr>
                    <pic:cNvPr id="23653" name="Picture 23653"/>
                    <pic:cNvPicPr/>
                  </pic:nvPicPr>
                  <pic:blipFill>
                    <a:blip r:embed="rId61"/>
                    <a:stretch>
                      <a:fillRect/>
                    </a:stretch>
                  </pic:blipFill>
                  <pic:spPr>
                    <a:xfrm>
                      <a:off x="0" y="0"/>
                      <a:ext cx="3465195" cy="3195955"/>
                    </a:xfrm>
                    <a:prstGeom prst="rect">
                      <a:avLst/>
                    </a:prstGeom>
                  </pic:spPr>
                </pic:pic>
              </a:graphicData>
            </a:graphic>
          </wp:inline>
        </w:drawing>
      </w:r>
      <w:r>
        <w:rPr/>
        <w:t xml:space="preserve"> </w:t>
      </w:r>
    </w:p>
    <w:p>
      <w:pPr>
        <w:spacing w:before="0" w:after="0" w:line="259" w:lineRule="auto"/>
        <w:ind w:left="319" w:firstLine="0"/>
        <w:jc w:val="left"/>
      </w:pPr>
      <w:r>
        <w:rPr/>
        <w:t xml:space="preserve"> </w:t>
      </w:r>
    </w:p>
    <w:p>
      <w:pPr>
        <w:spacing w:before="0" w:after="12" w:line="259" w:lineRule="auto"/>
        <w:ind w:left="319" w:firstLine="0"/>
        <w:jc w:val="left"/>
      </w:pPr>
      <w:r>
        <w:rPr/>
        <w:t xml:space="preserve"> </w:t>
      </w:r>
    </w:p>
    <w:p>
      <w:pPr>
        <w:pStyle w:val="normal"/>
        <w:spacing w:before="0" w:after="5" w:line="247" w:lineRule="auto"/>
        <w:ind w:left="329" w:right="598"/>
      </w:pPr>
      <w:r>
        <w:rPr/>
        <w:t xml:space="preserve">Les principes d‟intervention suivant détermineront la mise en œuvre du projet</w:t>
      </w:r>
      <w:r>
        <w:rPr/>
        <w:t xml:space="preserve">:</w:t>
      </w:r>
      <w:r>
        <w:rPr/>
        <w:t xml:space="preserve"> </w:t>
      </w:r>
    </w:p>
    <w:p>
      <w:pPr>
        <w:spacing w:before="0" w:after="15" w:line="259" w:lineRule="auto"/>
        <w:ind w:left="1040" w:firstLine="0"/>
        <w:jc w:val="left"/>
      </w:pPr>
      <w:r>
        <w:rPr/>
        <w:t xml:space="preserve"> </w:t>
      </w:r>
    </w:p>
    <w:p>
      <w:pPr>
        <w:pStyle w:val="normal"/>
        <w:numPr>
          <w:ilvl w:val="0"/>
          <w:numId w:val="11"/>
        </w:numPr>
        <w:spacing w:before="0" w:after="5" w:line="247" w:lineRule="auto"/>
        <w:ind w:left="1760" w:right="598" w:hanging="360"/>
      </w:pPr>
      <w:r>
        <w:rPr>
          <w:rFonts w:cs="Times New Roman" w:hAnsi="Times New Roman" w:eastAsia="Times New Roman" w:ascii="Times New Roman"/>
          <w:b w:val="1"/>
        </w:rPr>
        <w:t xml:space="preserve">Le renforcement des capacités aux niveaux systémique, organisationnel et individuel</w:t>
      </w:r>
      <w:r>
        <w:rPr>
          <w:rFonts w:cs="Times New Roman" w:hAnsi="Times New Roman" w:eastAsia="Times New Roman" w:ascii="Times New Roman"/>
          <w:b w:val="1"/>
        </w:rPr>
        <w:t xml:space="preserve">.</w:t>
      </w:r>
      <w:r>
        <w:rPr/>
        <w:t xml:space="preserve"> </w:t>
      </w:r>
      <w:r>
        <w:rPr/>
        <w:t xml:space="preserve">Le PNUD  Burkina Faso travaillera à renforcer les  capacités</w:t>
      </w:r>
      <w:r>
        <w:rPr/>
        <w:t xml:space="preserve"> </w:t>
      </w:r>
      <w:r>
        <w:rPr/>
        <w:t xml:space="preserve">des acteurs nationaux</w:t>
      </w:r>
      <w:r>
        <w:rPr/>
        <w:t xml:space="preserve">  </w:t>
      </w:r>
      <w:r>
        <w:rPr/>
        <w:t xml:space="preserve">dans la perspective de la réduction de la pauvreté. L‟approche générale du renforcement des capacités comportera un diagnostic intégrant l‟auto</w:t>
      </w:r>
      <w:r>
        <w:rPr/>
        <w:t xml:space="preserve">-</w:t>
      </w:r>
      <w:r>
        <w:rPr/>
        <w:t xml:space="preserve">évaluation des capacités, l‟analyse du gap entre les capacités actuelles et les capacités souhaitées puis l‟élaboration et la mise en œuvre du plan de renforcement des capacités.</w:t>
      </w:r>
      <w:r>
        <w:rPr/>
        <w:t xml:space="preserve"> </w:t>
      </w:r>
    </w:p>
    <w:p>
      <w:pPr>
        <w:spacing w:before="0" w:after="0" w:line="259" w:lineRule="auto"/>
        <w:ind w:left="319" w:firstLine="0"/>
        <w:jc w:val="left"/>
      </w:pPr>
      <w:r>
        <w:rPr>
          <w:rFonts w:cs="Times New Roman" w:hAnsi="Times New Roman" w:eastAsia="Times New Roman" w:ascii="Times New Roman"/>
          <w:b w:val="1"/>
        </w:rPr>
        <w:t xml:space="preserve"> 	</w:t>
      </w:r>
      <w:r>
        <w:rPr/>
        <w:t xml:space="preserve"> </w:t>
      </w:r>
    </w:p>
    <w:p>
      <w:pPr>
        <w:pStyle w:val="normal"/>
        <w:numPr>
          <w:ilvl w:val="0"/>
          <w:numId w:val="11"/>
        </w:numPr>
        <w:spacing w:before="0" w:after="29" w:line="247" w:lineRule="auto"/>
        <w:ind w:left="1760" w:right="598" w:hanging="360"/>
      </w:pPr>
      <w:r>
        <w:rPr/>
        <w:t xml:space="preserve">L‟intervention du projet repose essentiellement sur </w:t>
      </w:r>
      <w:r>
        <w:rPr>
          <w:rFonts w:cs="Times New Roman" w:hAnsi="Times New Roman" w:eastAsia="Times New Roman" w:ascii="Times New Roman"/>
          <w:b w:val="1"/>
        </w:rPr>
        <w:t xml:space="preserve">l’accompagnement de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processus multi</w:t>
      </w:r>
      <w:r>
        <w:rPr>
          <w:rFonts w:cs="Times New Roman" w:hAnsi="Times New Roman" w:eastAsia="Times New Roman" w:ascii="Times New Roman"/>
          <w:b w:val="1"/>
        </w:rPr>
        <w:t xml:space="preserve"/>
      </w:r>
      <w:r>
        <w:rPr>
          <w:rFonts w:cs="Times New Roman" w:hAnsi="Times New Roman" w:eastAsia="Times New Roman" w:ascii="Times New Roman"/>
          <w:b w:val="1"/>
        </w:rPr>
        <w:t xml:space="preserve">acteurs</w:t>
      </w:r>
      <w:r>
        <w:rPr>
          <w:rFonts w:cs="Times New Roman" w:hAnsi="Times New Roman" w:eastAsia="Times New Roman" w:ascii="Times New Roman"/>
          <w:b w:val="1"/>
        </w:rPr>
        <w:t xml:space="preserve"> </w:t>
      </w:r>
      <w:r>
        <w:rPr/>
        <w:t xml:space="preserve">de développement de capacités institutionnelles pour accroître l‟impact des transformations opérées</w:t>
      </w:r>
      <w:r>
        <w:rPr/>
        <w:t xml:space="preserve"> </w:t>
      </w:r>
      <w:r>
        <w:rPr/>
        <w:t xml:space="preserve">au niveau des communautés de base</w:t>
      </w:r>
      <w:r>
        <w:rPr/>
        <w:t xml:space="preserve">. </w:t>
      </w:r>
      <w:r>
        <w:rPr/>
        <w:t xml:space="preserve">Le processus à accompagner implique les Elus Locaux, les organisations de la société civile, le secteur privé et les services techniques</w:t>
      </w:r>
      <w:r>
        <w:rPr/>
        <w:t xml:space="preserve"> </w:t>
      </w:r>
      <w:r>
        <w:rPr/>
        <w:t xml:space="preserve">de l‟Etat</w:t>
      </w:r>
      <w:r>
        <w:rPr/>
        <w:t xml:space="preserve">. </w:t>
      </w:r>
      <w:r>
        <w:rPr/>
        <w:t xml:space="preserve">Afin de faciliter l‟accompagnement de</w:t>
      </w:r>
      <w:r>
        <w:rPr/>
        <w:t xml:space="preserve"> </w:t>
      </w:r>
      <w:r>
        <w:rPr/>
        <w:t xml:space="preserve">processus</w:t>
      </w:r>
      <w:r>
        <w:rPr/>
        <w:t xml:space="preserve"> </w:t>
      </w:r>
      <w:r>
        <w:rPr/>
        <w:t xml:space="preserve">de transformation des économies locales, la mise</w:t>
      </w:r>
      <w:r>
        <w:rPr/>
        <w:t xml:space="preserve"> </w:t>
      </w:r>
      <w:r>
        <w:rPr/>
        <w:t xml:space="preserve">en œuvre</w:t>
      </w:r>
      <w:r>
        <w:rPr/>
        <w:t xml:space="preserve"> </w:t>
      </w:r>
      <w:r>
        <w:rPr/>
        <w:t xml:space="preserve">du</w:t>
      </w:r>
      <w:r>
        <w:rPr/>
        <w:t xml:space="preserve"> </w:t>
      </w:r>
      <w:r>
        <w:rPr/>
        <w:t xml:space="preserve">projet</w:t>
      </w:r>
      <w:r>
        <w:rPr/>
        <w:t xml:space="preserve"> </w:t>
      </w:r>
      <w:r>
        <w:rPr/>
        <w:t xml:space="preserve">prendra en compte</w:t>
      </w:r>
      <w:r>
        <w:rPr/>
        <w:t xml:space="preserve"> </w:t>
      </w:r>
      <w:r>
        <w:rPr/>
        <w:t xml:space="preserve">la flexibilité</w:t>
      </w:r>
      <w:r>
        <w:rPr/>
        <w:t xml:space="preserve"> </w:t>
      </w:r>
      <w:r>
        <w:rPr/>
        <w:t xml:space="preserve">et la progressivité nécessaires pour faciliter l‟adhésion des parties prenantes et garantir les meilleurs effets</w:t>
      </w:r>
      <w:r>
        <w:rPr/>
        <w:t xml:space="preserve">.</w:t>
      </w:r>
      <w:r>
        <w:rPr/>
        <w:t xml:space="preserve"> </w:t>
      </w:r>
    </w:p>
    <w:p>
      <w:pPr>
        <w:spacing w:before="0" w:after="81" w:line="259" w:lineRule="auto"/>
        <w:ind w:left="1760" w:firstLine="0"/>
        <w:jc w:val="left"/>
      </w:pPr>
      <w:r>
        <w:rPr/>
        <w:t xml:space="preserve"> </w:t>
      </w:r>
    </w:p>
    <w:p>
      <w:pPr>
        <w:pStyle w:val="normal"/>
        <w:numPr>
          <w:ilvl w:val="0"/>
          <w:numId w:val="11"/>
        </w:numPr>
        <w:spacing w:before="0" w:after="5" w:line="295" w:lineRule="auto"/>
        <w:ind w:left="1760" w:right="598" w:hanging="360"/>
      </w:pPr>
      <w:r>
        <w:rPr>
          <w:rFonts w:cs="Times New Roman" w:hAnsi="Times New Roman" w:eastAsia="Times New Roman" w:ascii="Times New Roman"/>
          <w:b w:val="1"/>
        </w:rPr>
        <w:t xml:space="preserve">L’alignement des interventions sur les priorités de la SCADD et des programmes de sa mise en œuvre au niveau national</w:t>
      </w:r>
      <w:r>
        <w:rPr/>
        <w:t xml:space="preserve"> </w:t>
      </w:r>
      <w:r>
        <w:rPr>
          <w:rFonts w:cs="Times New Roman" w:hAnsi="Times New Roman" w:eastAsia="Times New Roman" w:ascii="Times New Roman"/>
          <w:b w:val="1"/>
        </w:rPr>
        <w:t xml:space="preserve">et au niveau des collectivités territoriales</w:t>
      </w:r>
      <w:r>
        <w:rPr/>
        <w:t xml:space="preserve">. </w:t>
      </w:r>
      <w:r>
        <w:rPr/>
        <w:t xml:space="preserve">Il s‟agira d‟accompagner des initiatives cohérentes avec les politiques sectorielles prioritaires de la SCADD, les orientations en matière d‟environnement et les plans locaux de développement</w:t>
      </w:r>
      <w:r>
        <w:rPr/>
        <w:t xml:space="preserve">. </w:t>
      </w:r>
      <w:r>
        <w:rPr/>
        <w:t xml:space="preserve">Le projet consolidera la capacité des acteurs à traduire les priorités nationales en opportunités pour identifier et mettre en œuvre des actions de fond au profit des communautés de base</w:t>
      </w:r>
      <w:r>
        <w:rPr/>
        <w:t xml:space="preserve">.</w:t>
      </w:r>
      <w:r>
        <w:rPr/>
        <w:t xml:space="preserve">  </w:t>
      </w:r>
    </w:p>
    <w:p>
      <w:pPr>
        <w:spacing w:before="0" w:after="34" w:line="259" w:lineRule="auto"/>
        <w:ind w:left="1760" w:firstLine="0"/>
        <w:jc w:val="left"/>
      </w:pPr>
      <w:r>
        <w:rPr/>
        <w:t xml:space="preserve"> </w:t>
      </w:r>
    </w:p>
    <w:p>
      <w:pPr>
        <w:pStyle w:val="normal"/>
        <w:numPr>
          <w:ilvl w:val="0"/>
          <w:numId w:val="11"/>
        </w:numPr>
        <w:spacing w:before="0" w:after="5" w:line="247" w:lineRule="auto"/>
        <w:ind w:left="1760" w:right="598" w:hanging="360"/>
      </w:pPr>
      <w:r>
        <w:rPr>
          <w:rFonts w:cs="Times New Roman" w:hAnsi="Times New Roman" w:eastAsia="Times New Roman" w:ascii="Times New Roman"/>
          <w:b w:val="1"/>
        </w:rPr>
        <w:t xml:space="preserve">La</w:t>
      </w:r>
      <w:r>
        <w:rPr/>
        <w:t xml:space="preserve"> </w:t>
      </w:r>
      <w:r>
        <w:rPr>
          <w:rFonts w:cs="Times New Roman" w:hAnsi="Times New Roman" w:eastAsia="Times New Roman" w:ascii="Times New Roman"/>
          <w:b w:val="1"/>
        </w:rPr>
        <w:t xml:space="preserve">prise en compte de l’équité homme</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femme</w:t>
      </w:r>
      <w:r>
        <w:rPr>
          <w:rFonts w:cs="Times New Roman" w:hAnsi="Times New Roman" w:eastAsia="Times New Roman" w:ascii="Times New Roman"/>
          <w:b w:val="1"/>
        </w:rPr>
        <w:t xml:space="preserve"> </w:t>
      </w:r>
      <w:r>
        <w:rPr/>
        <w:t xml:space="preserve">guidera</w:t>
      </w:r>
      <w:r>
        <w:rPr/>
        <w:t xml:space="preserve"> </w:t>
      </w:r>
      <w:r>
        <w:rPr/>
        <w:t xml:space="preserve">la réalisation  des diagnostics, la programmation, l‟identification des bénéficiaires ultimes des actions, la définition des outils/mécanismes d‟appui aux initiatives et la mise en œuvre du système de suivi</w:t>
      </w:r>
      <w:r>
        <w:rPr/>
        <w:t xml:space="preserve">-</w:t>
      </w:r>
      <w:r>
        <w:rPr/>
        <w:t xml:space="preserve">évaluation</w:t>
      </w:r>
      <w:r>
        <w:rPr/>
        <w:t xml:space="preserve">.</w:t>
      </w:r>
      <w:r>
        <w:rPr/>
        <w:t xml:space="preserve"> </w:t>
      </w:r>
      <w:r>
        <w:rPr/>
        <w:t xml:space="preserve">Le projet sera attentif au renforcement de la place des femmes dans les processus de décision, la gestion des risques et opportunités des changements climatiques</w:t>
      </w:r>
      <w:r>
        <w:rPr/>
        <w:t xml:space="preserve"> </w:t>
      </w:r>
      <w:r>
        <w:rPr/>
        <w:t xml:space="preserve">et la répartition des bénéfices de la gestion des ressources naturelles.</w:t>
      </w:r>
      <w:r>
        <w:rPr/>
        <w:t xml:space="preserve"> </w:t>
      </w:r>
      <w:r>
        <w:rPr/>
        <w:t xml:space="preserve">Le projet privilégiera les principaux points d‟entrée suivants pour améliorer l‟équité homme</w:t>
      </w:r>
      <w:r>
        <w:rPr/>
        <w:t xml:space="preserve">-</w:t>
      </w:r>
      <w:r>
        <w:rPr/>
        <w:t xml:space="preserve">femme</w:t>
      </w:r>
      <w:r>
        <w:rPr/>
        <w:t xml:space="preserve"> </w:t>
      </w:r>
      <w:r>
        <w:rPr/>
        <w:t xml:space="preserve">:</w:t>
      </w:r>
      <w:r>
        <w:rPr/>
        <w:t xml:space="preserve"> </w:t>
      </w:r>
    </w:p>
    <w:p>
      <w:pPr>
        <w:pStyle w:val="normal"/>
        <w:spacing w:before="0" w:after="5" w:line="247" w:lineRule="auto"/>
        <w:ind w:left="2120" w:right="598" w:hanging="1080"/>
      </w:pPr>
      <w:r>
        <w:rPr/>
        <w:t xml:space="preserve"> </w:t>
      </w:r>
      <w:r>
        <w:rPr>
          <w:rFonts w:cs="Courier New" w:hAnsi="Courier New" w:eastAsia="Courier New" w:ascii="Courier New"/>
        </w:rPr>
        <w:t xml:space="preserve">o</w:t>
      </w:r>
      <w:r>
        <w:rPr>
          <w:rFonts w:cs="Arial" w:hAnsi="Arial" w:eastAsia="Arial" w:ascii="Arial"/>
        </w:rPr>
        <w:t xml:space="preserve"> </w:t>
      </w:r>
      <w:r>
        <w:rPr/>
        <w:t xml:space="preserve">La composition des plateformes</w:t>
      </w:r>
      <w:r>
        <w:rPr/>
        <w:t xml:space="preserve"> </w:t>
      </w:r>
      <w:r>
        <w:rPr/>
        <w:t xml:space="preserve">de dialogue multi</w:t>
      </w:r>
      <w:r>
        <w:rPr/>
        <w:t xml:space="preserve">-</w:t>
      </w:r>
      <w:r>
        <w:rPr/>
        <w:t xml:space="preserve">acteurs et leurs capacitation pour prendre en compte les questions</w:t>
      </w:r>
      <w:r>
        <w:rPr/>
        <w:t xml:space="preserve"> </w:t>
      </w:r>
      <w:r>
        <w:rPr/>
        <w:t xml:space="preserve">de genre</w:t>
      </w:r>
      <w:r>
        <w:rPr/>
        <w:t xml:space="preserve"> </w:t>
      </w:r>
      <w:r>
        <w:rPr/>
        <w:t xml:space="preserve">dans les diagnostics et la définition des priorités</w:t>
      </w:r>
      <w:r>
        <w:rPr/>
        <w:t xml:space="preserve">, </w:t>
      </w:r>
      <w:r>
        <w:rPr/>
        <w:t xml:space="preserve"> </w:t>
      </w:r>
    </w:p>
    <w:p>
      <w:pPr>
        <w:pStyle w:val="normal"/>
        <w:numPr>
          <w:ilvl w:val="1"/>
          <w:numId w:val="11"/>
        </w:numPr>
        <w:spacing w:before="0" w:after="5" w:line="247" w:lineRule="auto"/>
        <w:ind w:left="2480" w:right="598" w:hanging="360"/>
      </w:pPr>
      <w:r>
        <w:rPr/>
        <w:t xml:space="preserve">les processus de construction de nouvelles règles de gestion des ressources naturelles à travers les chartes locales, </w:t>
      </w:r>
      <w:r>
        <w:rPr/>
        <w:t xml:space="preserve"> </w:t>
      </w:r>
    </w:p>
    <w:p>
      <w:pPr>
        <w:pStyle w:val="normal"/>
        <w:numPr>
          <w:ilvl w:val="1"/>
          <w:numId w:val="11"/>
        </w:numPr>
        <w:spacing w:before="0" w:after="5" w:line="247" w:lineRule="auto"/>
        <w:ind w:left="2480" w:right="598" w:hanging="360"/>
      </w:pPr>
      <w:r>
        <w:rPr/>
        <w:t xml:space="preserve">le développement des outils de financement</w:t>
      </w:r>
      <w:r>
        <w:rPr/>
        <w:t xml:space="preserve"> </w:t>
      </w:r>
      <w:r>
        <w:rPr/>
        <w:t xml:space="preserve">et de services non financiers qui tiennent compte des spécificités homme entre homme et femme,</w:t>
      </w:r>
      <w:r>
        <w:rPr/>
        <w:t xml:space="preserve"> </w:t>
      </w:r>
    </w:p>
    <w:p>
      <w:pPr>
        <w:pStyle w:val="normal"/>
        <w:numPr>
          <w:ilvl w:val="1"/>
          <w:numId w:val="11"/>
        </w:numPr>
        <w:spacing w:before="0" w:after="5" w:line="247" w:lineRule="auto"/>
        <w:ind w:left="2480" w:right="598" w:hanging="360"/>
      </w:pPr>
      <w:r>
        <w:rPr/>
        <w:t xml:space="preserve">l‟appui à l‟identification et la</w:t>
      </w:r>
      <w:r>
        <w:rPr/>
        <w:t xml:space="preserve"> </w:t>
      </w:r>
      <w:r>
        <w:rPr/>
        <w:t xml:space="preserve">formulation de</w:t>
      </w:r>
      <w:r>
        <w:rPr/>
        <w:t xml:space="preserve"> </w:t>
      </w:r>
      <w:r>
        <w:rPr/>
        <w:t xml:space="preserve">projets portés</w:t>
      </w:r>
      <w:r>
        <w:rPr/>
        <w:t xml:space="preserve"> </w:t>
      </w:r>
      <w:r>
        <w:rPr/>
        <w:t xml:space="preserve">par les femmes</w:t>
      </w:r>
      <w:r>
        <w:rPr/>
        <w:t xml:space="preserve">  </w:t>
      </w:r>
    </w:p>
    <w:p>
      <w:pPr>
        <w:spacing w:before="0" w:after="25" w:line="259" w:lineRule="auto"/>
        <w:ind w:left="1040" w:firstLine="0"/>
        <w:jc w:val="left"/>
      </w:pPr>
      <w:r>
        <w:rPr/>
        <w:t xml:space="preserve"> </w:t>
      </w:r>
    </w:p>
    <w:p>
      <w:pPr>
        <w:pStyle w:val="normal"/>
        <w:numPr>
          <w:ilvl w:val="0"/>
          <w:numId w:val="11"/>
        </w:numPr>
        <w:spacing w:before="0" w:after="5" w:line="247" w:lineRule="auto"/>
        <w:ind w:left="1760" w:right="598" w:hanging="360"/>
      </w:pPr>
      <w:r>
        <w:rPr>
          <w:rFonts w:cs="Times New Roman" w:hAnsi="Times New Roman" w:eastAsia="Times New Roman" w:ascii="Times New Roman"/>
          <w:b w:val="1"/>
        </w:rPr>
        <w:t xml:space="preserve">Le développement de partenariats stratégiques et de synergies</w:t>
      </w:r>
      <w:r>
        <w:rPr/>
        <w:t xml:space="preserve"> </w:t>
      </w:r>
      <w:r>
        <w:rPr/>
        <w:t xml:space="preserve">avec d‟autres intervenants permettra</w:t>
      </w:r>
      <w:r>
        <w:rPr/>
        <w:t xml:space="preserve"> </w:t>
      </w:r>
      <w:r>
        <w:rPr/>
        <w:t xml:space="preserve">d‟éviter les duplications d‟interventions, de valoriser les avantages comparatifs et de</w:t>
      </w:r>
      <w:r>
        <w:rPr/>
        <w:t xml:space="preserve"> </w:t>
      </w:r>
      <w:r>
        <w:rPr/>
        <w:t xml:space="preserve">mutualiser les ressources</w:t>
      </w:r>
      <w:r>
        <w:rPr/>
        <w:t xml:space="preserve"> </w:t>
      </w:r>
      <w:r>
        <w:rPr/>
        <w:t xml:space="preserve">et les expériences</w:t>
      </w:r>
      <w:r>
        <w:rPr/>
        <w:t xml:space="preserve">.</w:t>
      </w:r>
      <w:r>
        <w:rPr/>
        <w:t xml:space="preserve"> </w:t>
      </w:r>
      <w:r>
        <w:rPr/>
        <w:t xml:space="preserve">La capitalisation des expériences, avec notamment la gestion des connaissances, va permettre de documenter les meilleures pratiques et de les diffuser à travers des réseaux nationaux et internationaux.</w:t>
      </w:r>
      <w:r>
        <w:rPr/>
        <w:t xml:space="preserve"> </w:t>
      </w:r>
      <w:r>
        <w:rPr/>
        <w:t xml:space="preserve">La collaboration avec les institutions de recherche visera notamment à valoriser et compléter les connaissances et techniques endogènes en matière de gestions des risques climatiques. Le partenariat à développer inclura le secteur privé</w:t>
      </w:r>
      <w:r>
        <w:rPr/>
        <w:t xml:space="preserve"> </w:t>
      </w:r>
      <w:r>
        <w:rPr/>
        <w:t xml:space="preserve">(sociétés minières</w:t>
      </w:r>
      <w:r>
        <w:rPr/>
        <w:t xml:space="preserve">,</w:t>
      </w:r>
      <w:r>
        <w:rPr/>
        <w:t xml:space="preserve"> </w:t>
      </w:r>
      <w:r>
        <w:rPr/>
        <w:t xml:space="preserve">sociétés cotonnières</w:t>
      </w:r>
      <w:r>
        <w:rPr/>
        <w:t xml:space="preserve">, </w:t>
      </w:r>
      <w:r>
        <w:rPr/>
        <w:t xml:space="preserve">etc</w:t>
      </w:r>
      <w:r>
        <w:rPr/>
        <w:t xml:space="preserve">), </w:t>
      </w:r>
      <w:r>
        <w:rPr/>
        <w:t xml:space="preserve">les institutions de recherche</w:t>
      </w:r>
      <w:r>
        <w:rPr/>
        <w:t xml:space="preserve"> </w:t>
      </w:r>
      <w:r>
        <w:rPr/>
        <w:t xml:space="preserve">et la coopération décentralisée.</w:t>
      </w:r>
      <w:r>
        <w:rPr/>
        <w:t xml:space="preserve"> </w:t>
      </w:r>
      <w:r>
        <w:rPr/>
        <w:t xml:space="preserve">L‟approche territoriale des changements climatiques (TACC) que le PNUD a développée avec d‟autres partenaires pourrait être efficacement valorisée dans l‟appui aux collectivités</w:t>
      </w:r>
      <w:r>
        <w:rPr/>
        <w:t xml:space="preserve"> </w:t>
      </w:r>
      <w:r>
        <w:rPr/>
        <w:t xml:space="preserve">territoriales</w:t>
      </w:r>
      <w:r>
        <w:rPr/>
        <w:t xml:space="preserve"> </w:t>
      </w:r>
      <w:r>
        <w:rPr/>
        <w:t xml:space="preserve">du Burkina Faso</w:t>
      </w:r>
      <w:r>
        <w:rPr/>
        <w:t xml:space="preserve">.</w:t>
      </w:r>
      <w:r>
        <w:rPr/>
        <w:t xml:space="preserve"> </w:t>
      </w:r>
    </w:p>
    <w:p>
      <w:pPr>
        <w:spacing w:before="0" w:after="34" w:line="259" w:lineRule="auto"/>
        <w:ind w:left="1040" w:firstLine="0"/>
        <w:jc w:val="left"/>
      </w:pPr>
      <w:r>
        <w:rPr/>
        <w:t xml:space="preserve"> </w:t>
      </w:r>
    </w:p>
    <w:p>
      <w:pPr>
        <w:pStyle w:val="normal"/>
        <w:numPr>
          <w:ilvl w:val="0"/>
          <w:numId w:val="11"/>
        </w:numPr>
        <w:spacing w:before="0" w:after="5" w:line="247" w:lineRule="auto"/>
        <w:ind w:left="1760" w:right="598" w:hanging="360"/>
      </w:pPr>
      <w:r>
        <w:rPr>
          <w:rFonts w:cs="Times New Roman" w:hAnsi="Times New Roman" w:eastAsia="Times New Roman" w:ascii="Times New Roman"/>
          <w:b w:val="1"/>
        </w:rPr>
        <w:t xml:space="preserve">La flexibilité du dispositif et des mécanismes d’intervention sera déterminante </w:t>
      </w:r>
      <w:r>
        <w:rPr/>
        <w:t xml:space="preserve">pour assurer la prise en charge efficace des défis qui émergeront au niveau local et les évolutions du contexte national et mondial</w:t>
      </w:r>
      <w:r>
        <w:rPr/>
        <w:t xml:space="preserve"> </w:t>
      </w:r>
      <w:r>
        <w:rPr/>
        <w:t xml:space="preserve">notamment au niveau de l‟architecture de la finance Climat et des progrès sur les technologies appropriées. </w:t>
      </w:r>
      <w:r>
        <w:rPr/>
        <w:t xml:space="preserve"> </w:t>
      </w:r>
    </w:p>
    <w:p>
      <w:pPr>
        <w:spacing w:before="0" w:after="0" w:line="259" w:lineRule="auto"/>
        <w:ind w:left="319" w:firstLine="0"/>
        <w:jc w:val="left"/>
      </w:pPr>
      <w:r>
        <w:rPr>
          <w:rFonts w:cs="Times New Roman" w:hAnsi="Times New Roman" w:eastAsia="Times New Roman" w:ascii="Times New Roman"/>
          <w:b w:val="1"/>
          <w:sz w:val="24"/>
        </w:rPr>
        <w:t xml:space="preserve"> </w:t>
      </w:r>
    </w:p>
    <w:p>
      <w:pPr>
        <w:pStyle w:val="heading3"/>
        <w:spacing w:before="0" w:after="10" w:line="249" w:lineRule="auto"/>
        <w:ind w:left="329"/>
      </w:pPr>
      <w:r>
        <w:rPr/>
        <w:t xml:space="preserve">2.2. </w:t>
      </w:r>
      <w:r>
        <w:rPr/>
        <w:t xml:space="preserve">Effets et produits attendus</w:t>
      </w:r>
      <w:r>
        <w:rPr/>
        <w:t xml:space="preserve"> </w:t>
      </w:r>
    </w:p>
    <w:p>
      <w:pPr>
        <w:spacing w:before="0" w:after="0" w:line="259" w:lineRule="auto"/>
        <w:ind w:left="319" w:firstLine="0"/>
        <w:jc w:val="left"/>
      </w:pPr>
      <w:r>
        <w:rPr/>
        <w:t xml:space="preserve"> </w:t>
      </w:r>
    </w:p>
    <w:p>
      <w:pPr>
        <w:pStyle w:val="normal"/>
        <w:spacing w:before="0" w:after="5" w:line="247" w:lineRule="auto"/>
        <w:ind w:left="329" w:right="598"/>
      </w:pPr>
      <w:r>
        <w:rPr/>
        <w:t xml:space="preserve">Le</w:t>
      </w:r>
      <w:r>
        <w:rPr/>
        <w:t xml:space="preserve"> </w:t>
      </w:r>
      <w:r>
        <w:rPr/>
        <w:t xml:space="preserve">Projet de Consolidation de la Gouvernance Environnementale</w:t>
      </w:r>
      <w:r>
        <w:rPr/>
        <w:t xml:space="preserve"> </w:t>
      </w:r>
      <w:r>
        <w:rPr/>
        <w:t xml:space="preserve">Locale s‟inscrit dans le sous programme de Gestion Durable de l‟Environnement</w:t>
      </w:r>
      <w:r>
        <w:rPr/>
        <w:t xml:space="preserve"> </w:t>
      </w:r>
      <w:r>
        <w:rPr/>
        <w:t xml:space="preserve">du Plan d‟Action du Programme de Pays </w:t>
      </w:r>
      <w:r>
        <w:rPr/>
        <w:t xml:space="preserve">(</w:t>
      </w:r>
      <w:r>
        <w:rPr/>
        <w:t xml:space="preserve">CPAP</w:t>
      </w:r>
      <w:r>
        <w:rPr/>
        <w:t xml:space="preserve">) </w:t>
      </w:r>
      <w:r>
        <w:rPr/>
        <w:t xml:space="preserve">2011</w:t>
      </w:r>
      <w:r>
        <w:rPr/>
        <w:t xml:space="preserve">-</w:t>
      </w:r>
      <w:r>
        <w:rPr/>
        <w:t xml:space="preserve">2015 </w:t>
      </w:r>
      <w:r>
        <w:rPr/>
        <w:t xml:space="preserve">qui </w:t>
      </w:r>
      <w:r>
        <w:rPr/>
        <w:t xml:space="preserve"> </w:t>
      </w:r>
      <w:r>
        <w:rPr/>
        <w:t xml:space="preserve">est la déclinaison opérationnelle</w:t>
      </w:r>
      <w:r>
        <w:rPr/>
        <w:t xml:space="preserve"> </w:t>
      </w:r>
      <w:r>
        <w:rPr/>
        <w:t xml:space="preserve">du Programme Pays du PNUD (CPD) au Burkina Faso. Le CPD</w:t>
      </w:r>
      <w:r>
        <w:rPr/>
        <w:t xml:space="preserve"> </w:t>
      </w:r>
      <w:r>
        <w:rPr/>
        <w:t xml:space="preserve">représente l‟accord formel, entre le PNUD et le gouvernement, pour sa contribution au Plan Cadre des Nations Unies pour l‟Aide au Développement</w:t>
      </w:r>
      <w:r>
        <w:rPr/>
        <w:t xml:space="preserve"> </w:t>
      </w:r>
      <w:r>
        <w:rPr/>
        <w:t xml:space="preserve">au Burkina Faso (UNDAF, 2011</w:t>
      </w:r>
      <w:r>
        <w:rPr/>
        <w:t xml:space="preserve">-</w:t>
      </w:r>
      <w:r>
        <w:rPr/>
        <w:t xml:space="preserve">2015).</w:t>
      </w:r>
      <w:r>
        <w:rPr/>
        <w:t xml:space="preserve"> </w:t>
      </w:r>
      <w:r>
        <w:rPr/>
        <w:t xml:space="preserve">Il</w:t>
      </w:r>
      <w:r>
        <w:rPr/>
        <w:t xml:space="preserve"> </w:t>
      </w:r>
      <w:r>
        <w:rPr/>
        <w:t xml:space="preserve">tire son fondement de la SCADD et des domaines de coopération de l‟UNDAF</w:t>
      </w:r>
      <w:r>
        <w:rPr/>
        <w:t xml:space="preserve">.</w:t>
      </w:r>
      <w:r>
        <w:rPr/>
        <w:t xml:space="preserve"> </w:t>
      </w:r>
    </w:p>
    <w:p>
      <w:pPr>
        <w:spacing w:before="0" w:after="0" w:line="259" w:lineRule="auto"/>
        <w:ind w:left="319" w:firstLine="0"/>
        <w:jc w:val="left"/>
      </w:pPr>
      <w:r>
        <w:rPr/>
        <w:t xml:space="preserve"> </w:t>
      </w:r>
    </w:p>
    <w:p>
      <w:pPr>
        <w:pBdr>
          <w:top w:val="single" w:color="000000" w:sz="4"/>
          <w:left w:val="single" w:color="000000" w:sz="4"/>
          <w:bottom w:val="single" w:color="000000" w:sz="4"/>
          <w:right w:val="single" w:color="000000" w:sz="4"/>
        </w:pBdr>
        <w:spacing w:before="0" w:after="56" w:line="252" w:lineRule="auto"/>
        <w:ind w:left="319" w:right="607" w:firstLine="0"/>
      </w:pPr>
      <w:r>
        <w:rPr>
          <w:rFonts w:cs="Arial" w:hAnsi="Arial" w:eastAsia="Arial" w:ascii="Arial"/>
          <w:sz w:val="18"/>
        </w:rPr>
        <w:t xml:space="preserve">La gouvernance environnementale est </w:t>
      </w:r>
      <w:r>
        <w:rPr>
          <w:rFonts w:cs="Arial" w:hAnsi="Arial" w:eastAsia="Arial" w:ascii="Arial"/>
          <w:i w:val="1"/>
          <w:sz w:val="18"/>
        </w:rPr>
        <w:t xml:space="preserve">l’ensemble des mécanismes, procédés et institutions, qui englobe des normes et des valeurs, des comportements et des modalités organisatrices, par lesquels les citoyens, les groupes articulent leurs intérêts, défendent leurs différences et exercent leurs droits et obligations en matière d’accès</w:t>
      </w:r>
      <w:r>
        <w:rPr>
          <w:rFonts w:cs="Arial" w:hAnsi="Arial" w:eastAsia="Arial" w:ascii="Arial"/>
          <w:i w:val="1"/>
          <w:sz w:val="18"/>
        </w:rPr>
        <w:t xml:space="preserve"> </w:t>
      </w:r>
      <w:r>
        <w:rPr>
          <w:rFonts w:cs="Arial" w:hAnsi="Arial" w:eastAsia="Arial" w:ascii="Arial"/>
          <w:i w:val="1"/>
          <w:sz w:val="18"/>
        </w:rPr>
        <w:t xml:space="preserve">et d’utilisation des ressources naturelles</w:t>
      </w:r>
      <w:r>
        <w:rPr>
          <w:sz w:val="18"/>
        </w:rPr>
        <w:t xml:space="preserve">.</w:t>
      </w:r>
      <w:r>
        <w:rPr>
          <w:sz w:val="18"/>
        </w:rPr>
        <w:t xml:space="preserve"> </w:t>
      </w:r>
    </w:p>
    <w:p>
      <w:pPr>
        <w:spacing w:before="0" w:after="0" w:line="259" w:lineRule="auto"/>
        <w:ind w:left="319" w:firstLine="0"/>
        <w:jc w:val="left"/>
      </w:pPr>
      <w:r>
        <w:rPr/>
        <w:t xml:space="preserve"> </w:t>
      </w:r>
    </w:p>
    <w:p>
      <w:pPr>
        <w:spacing w:before="0" w:after="0" w:line="259" w:lineRule="auto"/>
        <w:ind w:left="319" w:firstLine="0"/>
        <w:jc w:val="left"/>
      </w:pPr>
      <w:r>
        <w:rPr/>
        <w:t xml:space="preserve"> </w:t>
      </w:r>
    </w:p>
    <w:p>
      <w:pPr>
        <w:spacing w:before="0" w:after="4" w:line="251" w:lineRule="auto"/>
        <w:ind w:left="314" w:right="283"/>
        <w:jc w:val="left"/>
      </w:pPr>
      <w:r>
        <w:rPr/>
        <w:t xml:space="preserve">Le projet contribuera à la réalisation</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de l</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effet</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UNDAF</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suivant</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  </w:t>
      </w:r>
      <w:r>
        <w:rPr>
          <w:rFonts w:cs="Times New Roman" w:hAnsi="Times New Roman" w:eastAsia="Times New Roman" w:ascii="Times New Roman"/>
          <w:b w:val="1"/>
          <w:i w:val="1"/>
        </w:rPr>
        <w:t xml:space="preserve">la croissance économique accélérée est durable et pro pauvre</w:t>
      </w:r>
      <w:r>
        <w:rPr>
          <w:rFonts w:cs="Times New Roman" w:hAnsi="Times New Roman" w:eastAsia="Times New Roman" w:ascii="Times New Roman"/>
          <w:b w:val="1"/>
          <w:i w:val="1"/>
        </w:rPr>
        <w:t xml:space="preserve"> »</w:t>
      </w:r>
      <w:r>
        <w:rPr/>
        <w:t xml:space="preserve"> </w:t>
      </w:r>
    </w:p>
    <w:p>
      <w:pPr>
        <w:spacing w:before="0" w:after="0" w:line="259" w:lineRule="auto"/>
        <w:ind w:left="319" w:firstLine="0"/>
        <w:jc w:val="left"/>
      </w:pPr>
      <w:r>
        <w:rPr/>
        <w:t xml:space="preserve">  </w:t>
      </w:r>
    </w:p>
    <w:p>
      <w:pPr>
        <w:pStyle w:val="normal"/>
        <w:spacing w:before="0" w:after="43" w:line="247" w:lineRule="auto"/>
        <w:ind w:left="329" w:right="598"/>
      </w:pPr>
      <w:r>
        <w:rPr/>
        <w:t xml:space="preserve">Les deux effets suivants du Programme </w:t>
      </w:r>
      <w:r>
        <w:rPr/>
        <w:t xml:space="preserve"> </w:t>
      </w:r>
      <w:r>
        <w:rPr/>
        <w:t xml:space="preserve">de Pays (CPD) sont visés par le projet</w:t>
      </w:r>
      <w:r>
        <w:rPr/>
        <w:t xml:space="preserve"> </w:t>
      </w:r>
      <w:r>
        <w:rPr/>
        <w:t xml:space="preserve">: </w:t>
      </w:r>
      <w:r>
        <w:rPr/>
        <w:t xml:space="preserve"> </w:t>
      </w:r>
    </w:p>
    <w:p>
      <w:pPr>
        <w:pStyle w:val="normal"/>
        <w:numPr>
          <w:ilvl w:val="0"/>
          <w:numId w:val="12"/>
        </w:numPr>
        <w:spacing w:before="0" w:after="5" w:line="247" w:lineRule="auto"/>
        <w:ind w:left="1056" w:right="598" w:hanging="360"/>
      </w:pPr>
      <w:r>
        <w:rPr>
          <w:rFonts w:cs="Times New Roman" w:hAnsi="Times New Roman" w:eastAsia="Times New Roman" w:ascii="Times New Roman"/>
          <w:b w:val="1"/>
        </w:rPr>
        <w:t xml:space="preserve">EPP 1.1</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w:t>
      </w:r>
      <w:r>
        <w:rPr/>
        <w:t xml:space="preserve"> </w:t>
      </w:r>
      <w:r>
        <w:rPr/>
        <w:t xml:space="preserve">Les structures nationales sont mieux outillées pour formuler, mettre en œuvre et suivre des</w:t>
      </w:r>
      <w:r>
        <w:rPr/>
        <w:t xml:space="preserve"> </w:t>
      </w:r>
      <w:r>
        <w:rPr/>
        <w:t xml:space="preserve">politiques et programmes sectoriels en cohérence avec la SCADD et les OMD y compris les défis</w:t>
      </w:r>
      <w:r>
        <w:rPr/>
        <w:t xml:space="preserve"> </w:t>
      </w:r>
      <w:r>
        <w:rPr/>
        <w:t xml:space="preserve">démographiques</w:t>
      </w:r>
      <w:r>
        <w:rPr/>
        <w:t xml:space="preserve"> </w:t>
      </w:r>
    </w:p>
    <w:p>
      <w:pPr>
        <w:pStyle w:val="normal"/>
        <w:numPr>
          <w:ilvl w:val="0"/>
          <w:numId w:val="12"/>
        </w:numPr>
        <w:spacing w:before="0" w:after="5" w:line="247" w:lineRule="auto"/>
        <w:ind w:left="1056" w:right="598" w:hanging="360"/>
      </w:pPr>
      <w:r>
        <w:rPr>
          <w:rFonts w:cs="Times New Roman" w:hAnsi="Times New Roman" w:eastAsia="Times New Roman" w:ascii="Times New Roman"/>
          <w:b w:val="1"/>
        </w:rPr>
        <w:t xml:space="preserve">EPP 1.4</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w:t>
      </w:r>
      <w:r>
        <w:rPr/>
        <w:t xml:space="preserve"> </w:t>
      </w:r>
      <w:r>
        <w:rPr/>
        <w:t xml:space="preserve">Les structures nationales et les communautés de base pratiquent une approche intégrée du </w:t>
      </w:r>
      <w:r>
        <w:rPr/>
        <w:t xml:space="preserve"> </w:t>
      </w:r>
      <w:r>
        <w:rPr/>
        <w:t xml:space="preserve">développement durable et de gestion des ressources naturelles.</w:t>
      </w:r>
      <w:r>
        <w:rPr/>
        <w:t xml:space="preserve"> </w:t>
      </w:r>
    </w:p>
    <w:p>
      <w:pPr>
        <w:spacing w:before="0" w:after="0" w:line="259" w:lineRule="auto"/>
        <w:ind w:left="319" w:firstLine="0"/>
        <w:jc w:val="left"/>
      </w:pPr>
      <w:r>
        <w:rPr/>
        <w:t xml:space="preserve"> </w:t>
      </w:r>
    </w:p>
    <w:p>
      <w:pPr>
        <w:pStyle w:val="normal"/>
        <w:spacing w:before="0" w:after="36" w:line="247" w:lineRule="auto"/>
        <w:ind w:left="329" w:right="598"/>
      </w:pPr>
      <w:r>
        <w:rPr/>
        <w:t xml:space="preserve">Les interventions du projet seront articulées autour  des </w:t>
      </w:r>
      <w:r>
        <w:rPr/>
        <w:t xml:space="preserve"> </w:t>
      </w:r>
      <w:r>
        <w:rPr/>
        <w:t xml:space="preserve">axes suivants</w:t>
      </w:r>
      <w:r>
        <w:rPr/>
        <w:t xml:space="preserve"> </w:t>
      </w:r>
      <w:r>
        <w:rPr/>
        <w:t xml:space="preserve">:</w:t>
      </w:r>
      <w:r>
        <w:rPr/>
        <w:t xml:space="preserve"> </w:t>
      </w:r>
    </w:p>
    <w:p>
      <w:pPr>
        <w:pStyle w:val="normal"/>
        <w:numPr>
          <w:ilvl w:val="0"/>
          <w:numId w:val="13"/>
        </w:numPr>
        <w:spacing w:before="0" w:after="56" w:line="247" w:lineRule="auto"/>
        <w:ind w:left="1056" w:right="598" w:hanging="360"/>
      </w:pPr>
      <w:r>
        <w:rPr/>
        <w:t xml:space="preserve">Le développement d‟un cadre institutionnel et de mécanismes nationaux favorables à une</w:t>
      </w:r>
      <w:r>
        <w:rPr/>
        <w:t xml:space="preserve"> </w:t>
      </w:r>
      <w:r>
        <w:rPr/>
        <w:t xml:space="preserve">gouvernance environnementale locale</w:t>
      </w:r>
      <w:r>
        <w:rPr/>
        <w:t xml:space="preserve"> </w:t>
      </w:r>
      <w:r>
        <w:rPr/>
        <w:t xml:space="preserve">efficace</w:t>
      </w:r>
      <w:r>
        <w:rPr/>
        <w:t xml:space="preserve"> </w:t>
      </w:r>
    </w:p>
    <w:p>
      <w:pPr>
        <w:pStyle w:val="normal"/>
        <w:numPr>
          <w:ilvl w:val="0"/>
          <w:numId w:val="13"/>
        </w:numPr>
        <w:spacing w:before="0" w:after="71" w:line="247" w:lineRule="auto"/>
        <w:ind w:left="1056" w:right="598" w:hanging="360"/>
      </w:pPr>
      <w:r>
        <w:rPr/>
        <w:t xml:space="preserve">La production d‟un système d‟informations environnementales</w:t>
      </w:r>
      <w:r>
        <w:rPr/>
        <w:t xml:space="preserve"> </w:t>
      </w:r>
      <w:r>
        <w:rPr/>
        <w:t xml:space="preserve">répondant aux exigences de la planification et du suivi du développement durable au niveau local</w:t>
      </w:r>
      <w:r>
        <w:rPr/>
        <w:t xml:space="preserve"> </w:t>
      </w:r>
    </w:p>
    <w:p>
      <w:pPr>
        <w:pStyle w:val="normal"/>
        <w:numPr>
          <w:ilvl w:val="0"/>
          <w:numId w:val="13"/>
        </w:numPr>
        <w:spacing w:before="0" w:after="71" w:line="247" w:lineRule="auto"/>
        <w:ind w:left="1056" w:right="598" w:hanging="360"/>
      </w:pPr>
      <w:r>
        <w:rPr/>
        <w:t xml:space="preserve">L</w:t>
      </w:r>
      <w:r>
        <w:rPr/>
        <w:t xml:space="preserve">‟</w:t>
      </w:r>
      <w:r>
        <w:rPr/>
        <w:t xml:space="preserve">appui à l‟intégration des défis d‟adaptation aux changements climatiques et de réduction des émissions de carbone dans les</w:t>
      </w:r>
      <w:r>
        <w:rPr/>
        <w:t xml:space="preserve"> </w:t>
      </w:r>
      <w:r>
        <w:rPr/>
        <w:t xml:space="preserve">plans locaux de développement</w:t>
      </w:r>
      <w:r>
        <w:rPr/>
        <w:t xml:space="preserve"> </w:t>
      </w:r>
    </w:p>
    <w:p>
      <w:pPr>
        <w:pStyle w:val="normal"/>
        <w:numPr>
          <w:ilvl w:val="0"/>
          <w:numId w:val="13"/>
        </w:numPr>
        <w:spacing w:before="0" w:after="5" w:line="247" w:lineRule="auto"/>
        <w:ind w:left="1056" w:right="598" w:hanging="360"/>
      </w:pPr>
      <w:r>
        <w:rPr/>
        <w:t xml:space="preserve">L‟amélioration de l‟accès des collectivités territoriales aux sources de financement public et privé</w:t>
      </w:r>
      <w:r>
        <w:rPr/>
        <w:t xml:space="preserve"> </w:t>
      </w:r>
      <w:r>
        <w:rPr/>
        <w:t xml:space="preserve">et aux technologies appropriées</w:t>
      </w:r>
      <w:r>
        <w:rPr/>
        <w:t xml:space="preserve"> </w:t>
      </w:r>
      <w:r>
        <w:rPr/>
        <w:t xml:space="preserve">pour impulser une croissance durable</w:t>
      </w:r>
      <w:r>
        <w:rPr/>
        <w:t xml:space="preserve">.</w:t>
      </w:r>
      <w:r>
        <w:rPr/>
        <w:t xml:space="preserve"> </w:t>
      </w:r>
    </w:p>
    <w:p>
      <w:pPr>
        <w:spacing w:before="0" w:after="0" w:line="259" w:lineRule="auto"/>
        <w:ind w:left="319" w:firstLine="0"/>
        <w:jc w:val="left"/>
      </w:pPr>
      <w:r>
        <w:rPr/>
        <w:t xml:space="preserve"> </w:t>
      </w:r>
    </w:p>
    <w:p>
      <w:pPr>
        <w:pStyle w:val="normal"/>
        <w:spacing w:before="0" w:after="5" w:line="247" w:lineRule="auto"/>
        <w:ind w:left="329" w:right="598"/>
      </w:pPr>
      <w:r>
        <w:rPr/>
        <w:t xml:space="preserve">Les interventions sur les deux premiers axes concernent les défis du développement durable alors qu‟au niveau des collectivités territoriales les interventions se focalisent sur les défis des changements climatiques. Cette option tient compte du souci de valoriser les avantages comparatifs du PNUD,</w:t>
      </w:r>
      <w:r>
        <w:rPr/>
        <w:t xml:space="preserve"> </w:t>
      </w:r>
      <w:r>
        <w:rPr/>
        <w:t xml:space="preserve">de cibler des aspects concrets de la durabilité dans l‟appui au développement local</w:t>
      </w:r>
      <w:r>
        <w:rPr/>
        <w:t xml:space="preserve"> </w:t>
      </w:r>
      <w:r>
        <w:rPr/>
        <w:t xml:space="preserve">et d‟assurer un ancrage territorial des politiques nationales pour la gestion des changements climatiques</w:t>
      </w:r>
      <w:r>
        <w:rPr/>
        <w:t xml:space="preserve">.</w:t>
      </w:r>
      <w:r>
        <w:rPr/>
        <w:t xml:space="preserve"> </w:t>
      </w:r>
    </w:p>
    <w:p>
      <w:pPr>
        <w:spacing w:before="0" w:after="0" w:line="259" w:lineRule="auto"/>
        <w:ind w:left="319" w:firstLine="0"/>
        <w:jc w:val="left"/>
      </w:pPr>
      <w:r>
        <w:rPr/>
        <w:t xml:space="preserve"> </w:t>
      </w:r>
    </w:p>
    <w:p>
      <w:pPr>
        <w:pStyle w:val="normal"/>
        <w:spacing w:before="0" w:after="28" w:line="247" w:lineRule="auto"/>
        <w:ind w:left="329" w:right="598"/>
      </w:pPr>
      <w:r>
        <w:rPr/>
        <w:t xml:space="preserve">Les actions sur les trois axes ci</w:t>
      </w:r>
      <w:r>
        <w:rPr/>
        <w:t xml:space="preserve">-</w:t>
      </w:r>
      <w:r>
        <w:rPr/>
        <w:t xml:space="preserve">dessus cités contribueront à </w:t>
      </w:r>
      <w:r>
        <w:rPr>
          <w:rFonts w:cs="Times New Roman" w:hAnsi="Times New Roman" w:eastAsia="Times New Roman" w:ascii="Times New Roman"/>
          <w:b w:val="1"/>
        </w:rPr>
        <w:t xml:space="preserve">deux</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produits du Programme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de Pays</w:t>
      </w:r>
      <w:r>
        <w:rPr/>
        <w:t xml:space="preserve"> </w:t>
      </w:r>
      <w:r>
        <w:rPr/>
        <w:t xml:space="preserve">:</w:t>
      </w:r>
      <w:r>
        <w:rPr/>
        <w:t xml:space="preserve">  </w:t>
      </w:r>
    </w:p>
    <w:p>
      <w:pPr>
        <w:numPr>
          <w:ilvl w:val="0"/>
          <w:numId w:val="13"/>
        </w:numPr>
        <w:spacing w:before="0" w:after="32" w:line="244" w:lineRule="auto"/>
        <w:ind w:left="1056" w:right="598" w:hanging="360"/>
      </w:pPr>
      <w:r>
        <w:rPr>
          <w:rFonts w:cs="Times New Roman" w:hAnsi="Times New Roman" w:eastAsia="Times New Roman" w:ascii="Times New Roman"/>
          <w:i w:val="1"/>
        </w:rPr>
        <w:t xml:space="preserve">Produit 1 EPP11</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 les thèmes transversaux sont mieux intégrés dans la SCADD et les politiques sectorielles de</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développement.</w:t>
      </w:r>
      <w:r>
        <w:rPr>
          <w:rFonts w:cs="Times New Roman" w:hAnsi="Times New Roman" w:eastAsia="Times New Roman" w:ascii="Times New Roman"/>
          <w:i w:val="1"/>
        </w:rPr>
        <w:t xml:space="preserve"> </w:t>
      </w:r>
    </w:p>
    <w:p>
      <w:pPr>
        <w:numPr>
          <w:ilvl w:val="0"/>
          <w:numId w:val="13"/>
        </w:numPr>
        <w:spacing w:before="0" w:after="2" w:line="244" w:lineRule="auto"/>
        <w:ind w:left="1056" w:right="598" w:hanging="360"/>
      </w:pPr>
      <w:r>
        <w:rPr>
          <w:rFonts w:cs="Times New Roman" w:hAnsi="Times New Roman" w:eastAsia="Times New Roman" w:ascii="Times New Roman"/>
          <w:i w:val="1"/>
        </w:rPr>
        <w:t xml:space="preserve">Produit 2 EPP14</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 Les mécanismes de financement, de coordination ainsi que les innovations technologiques et techniques appropriées répondent aux besoins d’adaptation et d’atténuation aux changements climatiques.</w:t>
      </w:r>
      <w:r>
        <w:rPr>
          <w:rFonts w:cs="Times New Roman" w:hAnsi="Times New Roman" w:eastAsia="Times New Roman" w:ascii="Times New Roman"/>
          <w:i w:val="1"/>
        </w:rPr>
        <w:t xml:space="preserve"> </w:t>
      </w:r>
    </w:p>
    <w:p>
      <w:pPr>
        <w:spacing w:before="0" w:after="0" w:line="259" w:lineRule="auto"/>
        <w:ind w:left="1040" w:firstLine="0"/>
        <w:jc w:val="left"/>
      </w:pPr>
      <w:r>
        <w:rPr>
          <w:rFonts w:cs="Times New Roman" w:hAnsi="Times New Roman" w:eastAsia="Times New Roman" w:ascii="Times New Roman"/>
          <w:i w:val="1"/>
        </w:rPr>
        <w:t xml:space="preserve"> </w:t>
      </w:r>
    </w:p>
    <w:p>
      <w:pPr>
        <w:pStyle w:val="normal"/>
        <w:spacing w:before="0" w:after="5" w:line="247" w:lineRule="auto"/>
        <w:ind w:left="329" w:right="598"/>
      </w:pPr>
      <w:r>
        <w:rPr/>
        <w:t xml:space="preserve">Les produits attendus du projet sont illustrés dans le diagramme qui suit</w:t>
      </w:r>
      <w:r>
        <w:rPr/>
        <w:t xml:space="preserve"> </w:t>
      </w:r>
      <w:r>
        <w:rPr/>
        <w:t xml:space="preserve">:</w:t>
      </w:r>
      <w:r>
        <w:rPr/>
        <w:t xml:space="preserve"> </w:t>
      </w:r>
    </w:p>
    <w:p>
      <w:pPr>
        <w:sectPr>
          <w:headerReference w:type="even" r:id="rId5"/>
          <w:headerReference w:type="default" r:id="rId3"/>
          <w:headerReference w:type="first" r:id="rId1"/>
          <w:footerReference w:type="even" r:id="rId6"/>
          <w:footerReference w:type="default" r:id="rId4"/>
          <w:footerReference w:type="first" r:id="rId2"/>
          <w:pgSz w:w="11906" w:h="16838" w:orient="portrait"/>
          <w:pgMar w:footer="717" w:left="758" w:top="1200" w:right="469" w:bottom="1442"/>
          <w:pgNumType w:fmt="decimal"/>
          <w:cols/>
        </w:sectPr>
      </w:pPr>
    </w:p>
    <w:p>
      <w:pPr>
        <w:spacing w:before="0" w:after="0" w:line="259" w:lineRule="auto"/>
        <w:ind w:left="0" w:firstLine="0"/>
      </w:pPr>
      <w:r>
        <w:rPr/>
        <w:t xml:space="preserve"> </w:t>
      </w:r>
      <w:r>
        <w:rPr>
          <w:sz w:val="37"/>
          <w:vertAlign w:val="subscript"/>
        </w:rPr>
        <w:t xml:space="preserve"> 	</w:t>
      </w:r>
      <w:r>
        <w:rPr>
          <w:sz w:val="40"/>
        </w:rPr>
        <w:t xml:space="preserve"> </w:t>
      </w:r>
    </w:p>
    <w:p>
      <w:pPr>
        <w:spacing w:before="0" w:after="204" w:line="259" w:lineRule="auto"/>
        <w:ind w:left="0" w:firstLine="0"/>
        <w:jc w:val="left"/>
      </w:pPr>
      <w:r>
        <w:rPr>
          <w:sz w:val="2"/>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spacing w:before="0" w:after="10" w:line="259" w:lineRule="auto"/>
        <w:ind w:left="0" w:right="-62" w:firstLine="0"/>
        <w:jc w:val="left"/>
      </w:pPr>
      <w:r>
        <w:rPr>
          <w:rFonts w:cs="Calibri" w:hAnsi="Calibri" w:eastAsia="Calibri" w:ascii="Calibri"/>
          <w:sz w:val="22"/>
        </w:rPr>
        <w:drawing>
          <wp:inline distT="0" distB="0" distL="0" distR="0">
            <wp:extent cx="8902954" cy="3526943"/>
            <wp:docPr id="139532" name="Group 139532"/>
            <wp:cNvGraphicFramePr/>
            <a:graphic>
              <a:graphicData uri="http://schemas.microsoft.com/office/word/2010/wordprocessingGroup">
                <wpg:wgp>
                  <wpg:cNvGrpSpPr/>
                  <wpg:grpSpPr>
                    <a:xfrm>
                      <a:off x="0" y="0"/>
                      <a:ext cx="8902954" cy="3526943"/>
                      <a:chOff x="0" y="0"/>
                      <a:chExt cx="8902954" cy="3526943"/>
                    </a:xfrm>
                  </wpg:grpSpPr>
                  <wps:wsp>
                    <wps:cNvPr id="24219" name="Rectangle 24219"/>
                    <wps:cNvSpPr/>
                    <wps:spPr>
                      <a:xfrm>
                        <a:off x="0" y="30709"/>
                        <a:ext cx="50673" cy="224380"/>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wps:txbx>
                    <wps:bodyPr horzOverflow="overflow" rtlCol="0" vert="horz" lIns="0" tIns="0" rIns="0" bIns="0">
                      <a:noAutofit/>
                    </wps:bodyPr>
                  </wps:wsp>
                  <wps:wsp>
                    <wps:cNvPr id="24220" name="Rectangle 24220"/>
                    <wps:cNvSpPr/>
                    <wps:spPr>
                      <a:xfrm>
                        <a:off x="0" y="205969"/>
                        <a:ext cx="50673" cy="224380"/>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wps:txbx>
                    <wps:bodyPr horzOverflow="overflow" rtlCol="0" vert="horz" lIns="0" tIns="0" rIns="0" bIns="0">
                      <a:noAutofit/>
                    </wps:bodyPr>
                  </wps:wsp>
                  <wps:wsp>
                    <wps:cNvPr id="24221" name="Rectangle 24221"/>
                    <wps:cNvSpPr/>
                    <wps:spPr>
                      <a:xfrm>
                        <a:off x="0" y="37818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2" name="Rectangle 24222"/>
                    <wps:cNvSpPr/>
                    <wps:spPr>
                      <a:xfrm>
                        <a:off x="0" y="55344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3" name="Rectangle 24223"/>
                    <wps:cNvSpPr/>
                    <wps:spPr>
                      <a:xfrm>
                        <a:off x="0" y="72870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4" name="Rectangle 24224"/>
                    <wps:cNvSpPr/>
                    <wps:spPr>
                      <a:xfrm>
                        <a:off x="0" y="90396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5" name="Rectangle 24225"/>
                    <wps:cNvSpPr/>
                    <wps:spPr>
                      <a:xfrm>
                        <a:off x="0" y="107922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6" name="Rectangle 24226"/>
                    <wps:cNvSpPr/>
                    <wps:spPr>
                      <a:xfrm>
                        <a:off x="0" y="125486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7" name="Rectangle 24227"/>
                    <wps:cNvSpPr/>
                    <wps:spPr>
                      <a:xfrm>
                        <a:off x="0" y="143012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8" name="Rectangle 24228"/>
                    <wps:cNvSpPr/>
                    <wps:spPr>
                      <a:xfrm>
                        <a:off x="0" y="160538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29" name="Rectangle 24229"/>
                    <wps:cNvSpPr/>
                    <wps:spPr>
                      <a:xfrm>
                        <a:off x="0" y="178064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0" name="Rectangle 24230"/>
                    <wps:cNvSpPr/>
                    <wps:spPr>
                      <a:xfrm>
                        <a:off x="0" y="195590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1" name="Rectangle 24231"/>
                    <wps:cNvSpPr/>
                    <wps:spPr>
                      <a:xfrm>
                        <a:off x="0" y="213116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2" name="Rectangle 24232"/>
                    <wps:cNvSpPr/>
                    <wps:spPr>
                      <a:xfrm>
                        <a:off x="0" y="230642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3" name="Rectangle 24233"/>
                    <wps:cNvSpPr/>
                    <wps:spPr>
                      <a:xfrm>
                        <a:off x="2504186" y="230642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4" name="Rectangle 24234"/>
                    <wps:cNvSpPr/>
                    <wps:spPr>
                      <a:xfrm>
                        <a:off x="0" y="248168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5" name="Rectangle 24235"/>
                    <wps:cNvSpPr/>
                    <wps:spPr>
                      <a:xfrm>
                        <a:off x="0" y="265694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6" name="Rectangle 24236"/>
                    <wps:cNvSpPr/>
                    <wps:spPr>
                      <a:xfrm>
                        <a:off x="0" y="283245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7" name="Rectangle 24237"/>
                    <wps:cNvSpPr/>
                    <wps:spPr>
                      <a:xfrm>
                        <a:off x="0" y="3007716"/>
                        <a:ext cx="50673" cy="224379"/>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8" name="Rectangle 24238"/>
                    <wps:cNvSpPr/>
                    <wps:spPr>
                      <a:xfrm>
                        <a:off x="8864854" y="318297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39" name="Rectangle 24239"/>
                    <wps:cNvSpPr/>
                    <wps:spPr>
                      <a:xfrm>
                        <a:off x="0" y="335823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24245" name="Shape 24245"/>
                    <wps:cNvSpPr/>
                    <wps:spPr>
                      <a:xfrm>
                        <a:off x="5305425" y="1063625"/>
                        <a:ext cx="2864485" cy="934085"/>
                      </a:xfrm>
                      <a:custGeom>
                        <a:pathLst>
                          <a:path w="2864485" h="934085">
                            <a:moveTo>
                              <a:pt x="155702" y="0"/>
                            </a:moveTo>
                            <a:cubicBezTo>
                              <a:pt x="69723" y="0"/>
                              <a:pt x="0" y="69723"/>
                              <a:pt x="0" y="155702"/>
                            </a:cubicBezTo>
                            <a:lnTo>
                              <a:pt x="0" y="778383"/>
                            </a:lnTo>
                            <a:cubicBezTo>
                              <a:pt x="0" y="864362"/>
                              <a:pt x="69723" y="934085"/>
                              <a:pt x="155702" y="934085"/>
                            </a:cubicBezTo>
                            <a:lnTo>
                              <a:pt x="2708783" y="934085"/>
                            </a:lnTo>
                            <a:cubicBezTo>
                              <a:pt x="2794762" y="934085"/>
                              <a:pt x="2864485" y="864362"/>
                              <a:pt x="2864485" y="778383"/>
                            </a:cubicBezTo>
                            <a:lnTo>
                              <a:pt x="2864485" y="155702"/>
                            </a:lnTo>
                            <a:cubicBezTo>
                              <a:pt x="2864485" y="69723"/>
                              <a:pt x="2794762" y="0"/>
                              <a:pt x="2708783" y="0"/>
                            </a:cubicBezTo>
                            <a:close/>
                          </a:path>
                        </a:pathLst>
                      </a:custGeom>
                      <a:ln w="31750" cap="rnd">
                        <a:round/>
                      </a:ln>
                    </wps:spPr>
                    <wps:style>
                      <a:lnRef idx="1">
                        <a:srgbClr val="000000"/>
                      </a:lnRef>
                      <a:fillRef idx="0">
                        <a:srgbClr val="000000">
                          <a:alpha val="0"/>
                        </a:srgbClr>
                      </a:fillRef>
                      <a:effectRef idx="0"/>
                      <a:fontRef idx="none"/>
                    </wps:style>
                    <wps:bodyPr/>
                  </wps:wsp>
                  <wps:wsp>
                    <wps:cNvPr id="24246" name="Rectangle 24246"/>
                    <wps:cNvSpPr/>
                    <wps:spPr>
                      <a:xfrm>
                        <a:off x="6284341" y="1170884"/>
                        <a:ext cx="679162"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Produit 2</w:t>
                          </w:r>
                        </w:p>
                      </w:txbxContent>
                    </wps:txbx>
                    <wps:bodyPr horzOverflow="overflow" rtlCol="0" vert="horz" lIns="0" tIns="0" rIns="0" bIns="0">
                      <a:noAutofit/>
                    </wps:bodyPr>
                  </wps:wsp>
                  <wps:wsp>
                    <wps:cNvPr id="24247" name="Rectangle 24247"/>
                    <wps:cNvSpPr/>
                    <wps:spPr>
                      <a:xfrm>
                        <a:off x="6796406" y="1170884"/>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4248" name="Rectangle 24248"/>
                    <wps:cNvSpPr/>
                    <wps:spPr>
                      <a:xfrm>
                        <a:off x="6828409" y="1170884"/>
                        <a:ext cx="486870"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EPP14</w:t>
                          </w:r>
                        </w:p>
                      </w:txbxContent>
                    </wps:txbx>
                    <wps:bodyPr horzOverflow="overflow" rtlCol="0" vert="horz" lIns="0" tIns="0" rIns="0" bIns="0">
                      <a:noAutofit/>
                    </wps:bodyPr>
                  </wps:wsp>
                  <wps:wsp>
                    <wps:cNvPr id="24249" name="Rectangle 24249"/>
                    <wps:cNvSpPr/>
                    <wps:spPr>
                      <a:xfrm>
                        <a:off x="7194169" y="1170884"/>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4250" name="Rectangle 24250"/>
                    <wps:cNvSpPr/>
                    <wps:spPr>
                      <a:xfrm>
                        <a:off x="5548249" y="1312997"/>
                        <a:ext cx="1278581"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Les mécanismes de </w:t>
                          </w:r>
                        </w:p>
                      </w:txbxContent>
                    </wps:txbx>
                    <wps:bodyPr horzOverflow="overflow" rtlCol="0" vert="horz" lIns="0" tIns="0" rIns="0" bIns="0">
                      <a:noAutofit/>
                    </wps:bodyPr>
                  </wps:wsp>
                  <wps:wsp>
                    <wps:cNvPr id="24251" name="Rectangle 24251"/>
                    <wps:cNvSpPr/>
                    <wps:spPr>
                      <a:xfrm>
                        <a:off x="6506845" y="1312997"/>
                        <a:ext cx="193351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financement, de coordination </w:t>
                          </w:r>
                        </w:p>
                      </w:txbxContent>
                    </wps:txbx>
                    <wps:bodyPr horzOverflow="overflow" rtlCol="0" vert="horz" lIns="0" tIns="0" rIns="0" bIns="0">
                      <a:noAutofit/>
                    </wps:bodyPr>
                  </wps:wsp>
                  <wps:wsp>
                    <wps:cNvPr id="24252" name="Rectangle 24252"/>
                    <wps:cNvSpPr/>
                    <wps:spPr>
                      <a:xfrm>
                        <a:off x="5702173" y="1459302"/>
                        <a:ext cx="2798915"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ainsi que les innovations technologiques et </w:t>
                          </w:r>
                        </w:p>
                      </w:txbxContent>
                    </wps:txbx>
                    <wps:bodyPr horzOverflow="overflow" rtlCol="0" vert="horz" lIns="0" tIns="0" rIns="0" bIns="0">
                      <a:noAutofit/>
                    </wps:bodyPr>
                  </wps:wsp>
                  <wps:wsp>
                    <wps:cNvPr id="24253" name="Rectangle 24253"/>
                    <wps:cNvSpPr/>
                    <wps:spPr>
                      <a:xfrm>
                        <a:off x="5613782" y="1605606"/>
                        <a:ext cx="3035957"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techniques appropriées répondent aux besoins </w:t>
                          </w:r>
                        </w:p>
                      </w:txbxContent>
                    </wps:txbx>
                    <wps:bodyPr horzOverflow="overflow" rtlCol="0" vert="horz" lIns="0" tIns="0" rIns="0" bIns="0">
                      <a:noAutofit/>
                    </wps:bodyPr>
                  </wps:wsp>
                  <wps:wsp>
                    <wps:cNvPr id="24254" name="Rectangle 24254"/>
                    <wps:cNvSpPr/>
                    <wps:spPr>
                      <a:xfrm>
                        <a:off x="5593969" y="1776786"/>
                        <a:ext cx="3086933" cy="153202"/>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d’adaptation et d’atténuation aux changements </w:t>
                          </w:r>
                        </w:p>
                      </w:txbxContent>
                    </wps:txbx>
                    <wps:bodyPr horzOverflow="overflow" rtlCol="0" vert="horz" lIns="0" tIns="0" rIns="0" bIns="0">
                      <a:noAutofit/>
                    </wps:bodyPr>
                  </wps:wsp>
                  <wps:wsp>
                    <wps:cNvPr id="24257" name="Shape 24257"/>
                    <wps:cNvSpPr/>
                    <wps:spPr>
                      <a:xfrm>
                        <a:off x="6774815" y="873125"/>
                        <a:ext cx="0" cy="190500"/>
                      </a:xfrm>
                      <a:custGeom>
                        <a:pathLst>
                          <a:path w="0" h="190500">
                            <a:moveTo>
                              <a:pt x="0" y="0"/>
                            </a:moveTo>
                            <a:lnTo>
                              <a:pt x="0" y="190500"/>
                            </a:lnTo>
                          </a:path>
                        </a:pathLst>
                      </a:custGeom>
                      <a:ln w="9525" cap="rnd">
                        <a:round/>
                      </a:ln>
                    </wps:spPr>
                    <wps:style>
                      <a:lnRef idx="1">
                        <a:srgbClr val="000000"/>
                      </a:lnRef>
                      <a:fillRef idx="0">
                        <a:srgbClr val="000000">
                          <a:alpha val="0"/>
                        </a:srgbClr>
                      </a:fillRef>
                      <a:effectRef idx="0"/>
                      <a:fontRef idx="none"/>
                    </wps:style>
                    <wps:bodyPr/>
                  </wps:wsp>
                  <wps:wsp>
                    <wps:cNvPr id="24259" name="Shape 24259"/>
                    <wps:cNvSpPr/>
                    <wps:spPr>
                      <a:xfrm>
                        <a:off x="1140460" y="0"/>
                        <a:ext cx="2700020" cy="964565"/>
                      </a:xfrm>
                      <a:custGeom>
                        <a:pathLst>
                          <a:path w="2700020" h="964565">
                            <a:moveTo>
                              <a:pt x="160782" y="0"/>
                            </a:moveTo>
                            <a:cubicBezTo>
                              <a:pt x="72009" y="0"/>
                              <a:pt x="0" y="72009"/>
                              <a:pt x="0" y="160782"/>
                            </a:cubicBezTo>
                            <a:lnTo>
                              <a:pt x="0" y="803783"/>
                            </a:lnTo>
                            <a:cubicBezTo>
                              <a:pt x="0" y="892556"/>
                              <a:pt x="72009" y="964565"/>
                              <a:pt x="160782" y="964565"/>
                            </a:cubicBezTo>
                            <a:lnTo>
                              <a:pt x="2539238" y="964565"/>
                            </a:lnTo>
                            <a:cubicBezTo>
                              <a:pt x="2628011" y="964565"/>
                              <a:pt x="2700020" y="892556"/>
                              <a:pt x="2700020" y="803783"/>
                            </a:cubicBezTo>
                            <a:lnTo>
                              <a:pt x="2700020" y="160782"/>
                            </a:lnTo>
                            <a:cubicBezTo>
                              <a:pt x="2700020" y="72009"/>
                              <a:pt x="2628011" y="0"/>
                              <a:pt x="2539238" y="0"/>
                            </a:cubicBezTo>
                            <a:close/>
                          </a:path>
                        </a:pathLst>
                      </a:custGeom>
                      <a:ln w="12700" cap="flat">
                        <a:custDash>
                          <a:ds d="400000" sp="300000"/>
                        </a:custDash>
                        <a:round/>
                      </a:ln>
                    </wps:spPr>
                    <wps:style>
                      <a:lnRef idx="1">
                        <a:srgbClr val="f79646"/>
                      </a:lnRef>
                      <a:fillRef idx="0">
                        <a:srgbClr val="000000">
                          <a:alpha val="0"/>
                        </a:srgbClr>
                      </a:fillRef>
                      <a:effectRef idx="0"/>
                      <a:fontRef idx="none"/>
                    </wps:style>
                    <wps:bodyPr/>
                  </wps:wsp>
                  <wps:wsp>
                    <wps:cNvPr id="24260" name="Rectangle 24260"/>
                    <wps:cNvSpPr/>
                    <wps:spPr>
                      <a:xfrm>
                        <a:off x="2293874" y="96465"/>
                        <a:ext cx="523882" cy="186236"/>
                      </a:xfrm>
                      <a:prstGeom prst="rect">
                        <a:avLst/>
                      </a:prstGeom>
                      <a:ln>
                        <a:noFill/>
                      </a:ln>
                    </wps:spPr>
                    <wps:txbx>
                      <w:txbxContent>
                        <w:p>
                          <w:pPr>
                            <w:spacing w:before="0" w:after="160" w:line="259" w:lineRule="auto"/>
                            <w:ind w:left="0" w:firstLine="0"/>
                            <w:jc w:val="left"/>
                          </w:pPr>
                          <w:r>
                            <w:rPr>
                              <w:sz w:val="20"/>
                            </w:rPr>
                            <w:t xml:space="preserve">EPP 1.1</w:t>
                          </w:r>
                        </w:p>
                      </w:txbxContent>
                    </wps:txbx>
                    <wps:bodyPr horzOverflow="overflow" rtlCol="0" vert="horz" lIns="0" tIns="0" rIns="0" bIns="0">
                      <a:noAutofit/>
                    </wps:bodyPr>
                  </wps:wsp>
                  <wps:wsp>
                    <wps:cNvPr id="24261" name="Rectangle 24261"/>
                    <wps:cNvSpPr/>
                    <wps:spPr>
                      <a:xfrm>
                        <a:off x="2685923" y="96465"/>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24262" name="Rectangle 24262"/>
                    <wps:cNvSpPr/>
                    <wps:spPr>
                      <a:xfrm>
                        <a:off x="1393190" y="241245"/>
                        <a:ext cx="2958738" cy="186236"/>
                      </a:xfrm>
                      <a:prstGeom prst="rect">
                        <a:avLst/>
                      </a:prstGeom>
                      <a:ln>
                        <a:noFill/>
                      </a:ln>
                    </wps:spPr>
                    <wps:txbx>
                      <w:txbxContent>
                        <w:p>
                          <w:pPr>
                            <w:spacing w:before="0" w:after="160" w:line="259" w:lineRule="auto"/>
                            <w:ind w:left="0" w:firstLine="0"/>
                            <w:jc w:val="left"/>
                          </w:pPr>
                          <w:r>
                            <w:rPr>
                              <w:sz w:val="20"/>
                            </w:rPr>
                            <w:t xml:space="preserve">Les structures nationales sont mieux outillées </w:t>
                          </w:r>
                        </w:p>
                      </w:txbxContent>
                    </wps:txbx>
                    <wps:bodyPr horzOverflow="overflow" rtlCol="0" vert="horz" lIns="0" tIns="0" rIns="0" bIns="0">
                      <a:noAutofit/>
                    </wps:bodyPr>
                  </wps:wsp>
                  <wps:wsp>
                    <wps:cNvPr id="24263" name="Rectangle 24263"/>
                    <wps:cNvSpPr/>
                    <wps:spPr>
                      <a:xfrm>
                        <a:off x="1414526" y="412548"/>
                        <a:ext cx="2902043" cy="153037"/>
                      </a:xfrm>
                      <a:prstGeom prst="rect">
                        <a:avLst/>
                      </a:prstGeom>
                      <a:ln>
                        <a:noFill/>
                      </a:ln>
                    </wps:spPr>
                    <wps:txbx>
                      <w:txbxContent>
                        <w:p>
                          <w:pPr>
                            <w:spacing w:before="0" w:after="160" w:line="259" w:lineRule="auto"/>
                            <w:ind w:left="0" w:firstLine="0"/>
                            <w:jc w:val="left"/>
                          </w:pPr>
                          <w:r>
                            <w:rPr>
                              <w:sz w:val="20"/>
                            </w:rPr>
                            <w:t xml:space="preserve">pour formuler, mettre en œuvre et suivre des </w:t>
                          </w:r>
                        </w:p>
                      </w:txbxContent>
                    </wps:txbx>
                    <wps:bodyPr horzOverflow="overflow" rtlCol="0" vert="horz" lIns="0" tIns="0" rIns="0" bIns="0">
                      <a:noAutofit/>
                    </wps:bodyPr>
                  </wps:wsp>
                  <wps:wsp>
                    <wps:cNvPr id="24264" name="Rectangle 24264"/>
                    <wps:cNvSpPr/>
                    <wps:spPr>
                      <a:xfrm>
                        <a:off x="1301750" y="533853"/>
                        <a:ext cx="3204360" cy="186236"/>
                      </a:xfrm>
                      <a:prstGeom prst="rect">
                        <a:avLst/>
                      </a:prstGeom>
                      <a:ln>
                        <a:noFill/>
                      </a:ln>
                    </wps:spPr>
                    <wps:txbx>
                      <w:txbxContent>
                        <w:p>
                          <w:pPr>
                            <w:spacing w:before="0" w:after="160" w:line="259" w:lineRule="auto"/>
                            <w:ind w:left="0" w:firstLine="0"/>
                            <w:jc w:val="left"/>
                          </w:pPr>
                          <w:r>
                            <w:rPr>
                              <w:sz w:val="20"/>
                            </w:rPr>
                            <w:t xml:space="preserve">politiques et programmes sectoriels en cohérence </w:t>
                          </w:r>
                        </w:p>
                      </w:txbxContent>
                    </wps:txbx>
                    <wps:bodyPr horzOverflow="overflow" rtlCol="0" vert="horz" lIns="0" tIns="0" rIns="0" bIns="0">
                      <a:noAutofit/>
                    </wps:bodyPr>
                  </wps:wsp>
                  <wps:wsp>
                    <wps:cNvPr id="24265" name="Rectangle 24265"/>
                    <wps:cNvSpPr/>
                    <wps:spPr>
                      <a:xfrm>
                        <a:off x="1784858" y="683204"/>
                        <a:ext cx="1879010" cy="186236"/>
                      </a:xfrm>
                      <a:prstGeom prst="rect">
                        <a:avLst/>
                      </a:prstGeom>
                      <a:ln>
                        <a:noFill/>
                      </a:ln>
                    </wps:spPr>
                    <wps:txbx>
                      <w:txbxContent>
                        <w:p>
                          <w:pPr>
                            <w:spacing w:before="0" w:after="160" w:line="259" w:lineRule="auto"/>
                            <w:ind w:left="0" w:firstLine="0"/>
                            <w:jc w:val="left"/>
                          </w:pPr>
                          <w:r>
                            <w:rPr>
                              <w:sz w:val="20"/>
                            </w:rPr>
                            <w:t xml:space="preserve">avec la SCADD et les OMD.</w:t>
                          </w:r>
                        </w:p>
                      </w:txbxContent>
                    </wps:txbx>
                    <wps:bodyPr horzOverflow="overflow" rtlCol="0" vert="horz" lIns="0" tIns="0" rIns="0" bIns="0">
                      <a:noAutofit/>
                    </wps:bodyPr>
                  </wps:wsp>
                  <wps:wsp>
                    <wps:cNvPr id="24266" name="Rectangle 24266"/>
                    <wps:cNvSpPr/>
                    <wps:spPr>
                      <a:xfrm>
                        <a:off x="3196463" y="683204"/>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24267" name="Shape 24267"/>
                    <wps:cNvSpPr/>
                    <wps:spPr>
                      <a:xfrm>
                        <a:off x="5258435" y="0"/>
                        <a:ext cx="2788285" cy="873125"/>
                      </a:xfrm>
                      <a:custGeom>
                        <a:pathLst>
                          <a:path w="2788285" h="873125">
                            <a:moveTo>
                              <a:pt x="145542" y="0"/>
                            </a:moveTo>
                            <a:lnTo>
                              <a:pt x="2642743" y="0"/>
                            </a:lnTo>
                            <a:cubicBezTo>
                              <a:pt x="2723134" y="0"/>
                              <a:pt x="2788285" y="65151"/>
                              <a:pt x="2788285" y="145542"/>
                            </a:cubicBezTo>
                            <a:lnTo>
                              <a:pt x="2788285" y="727583"/>
                            </a:lnTo>
                            <a:cubicBezTo>
                              <a:pt x="2788285" y="807974"/>
                              <a:pt x="2723134" y="873125"/>
                              <a:pt x="2642743" y="873125"/>
                            </a:cubicBezTo>
                            <a:lnTo>
                              <a:pt x="145542" y="873125"/>
                            </a:lnTo>
                            <a:cubicBezTo>
                              <a:pt x="65151" y="873125"/>
                              <a:pt x="0" y="807974"/>
                              <a:pt x="0" y="727583"/>
                            </a:cubicBezTo>
                            <a:lnTo>
                              <a:pt x="0" y="145542"/>
                            </a:lnTo>
                            <a:cubicBezTo>
                              <a:pt x="0" y="65151"/>
                              <a:pt x="65151" y="0"/>
                              <a:pt x="145542" y="0"/>
                            </a:cubicBezTo>
                            <a:close/>
                          </a:path>
                        </a:pathLst>
                      </a:custGeom>
                      <a:ln w="0" cap="rnd">
                        <a:round/>
                      </a:ln>
                    </wps:spPr>
                    <wps:style>
                      <a:lnRef idx="0">
                        <a:srgbClr val="000000">
                          <a:alpha val="0"/>
                        </a:srgbClr>
                      </a:lnRef>
                      <a:fillRef idx="1">
                        <a:srgbClr val="ffffff"/>
                      </a:fillRef>
                      <a:effectRef idx="0"/>
                      <a:fontRef idx="none"/>
                    </wps:style>
                    <wps:bodyPr/>
                  </wps:wsp>
                  <wps:wsp>
                    <wps:cNvPr id="24268" name="Shape 24268"/>
                    <wps:cNvSpPr/>
                    <wps:spPr>
                      <a:xfrm>
                        <a:off x="5258435" y="0"/>
                        <a:ext cx="2788285" cy="873125"/>
                      </a:xfrm>
                      <a:custGeom>
                        <a:pathLst>
                          <a:path w="2788285" h="873125">
                            <a:moveTo>
                              <a:pt x="145542" y="0"/>
                            </a:moveTo>
                            <a:cubicBezTo>
                              <a:pt x="65151" y="0"/>
                              <a:pt x="0" y="65151"/>
                              <a:pt x="0" y="145542"/>
                            </a:cubicBezTo>
                            <a:lnTo>
                              <a:pt x="0" y="727583"/>
                            </a:lnTo>
                            <a:cubicBezTo>
                              <a:pt x="0" y="807974"/>
                              <a:pt x="65151" y="873125"/>
                              <a:pt x="145542" y="873125"/>
                            </a:cubicBezTo>
                            <a:lnTo>
                              <a:pt x="2642743" y="873125"/>
                            </a:lnTo>
                            <a:cubicBezTo>
                              <a:pt x="2723134" y="873125"/>
                              <a:pt x="2788285" y="807974"/>
                              <a:pt x="2788285" y="727583"/>
                            </a:cubicBezTo>
                            <a:lnTo>
                              <a:pt x="2788285" y="145542"/>
                            </a:lnTo>
                            <a:cubicBezTo>
                              <a:pt x="2788285" y="65151"/>
                              <a:pt x="2723134" y="0"/>
                              <a:pt x="2642743" y="0"/>
                            </a:cubicBezTo>
                            <a:close/>
                          </a:path>
                        </a:pathLst>
                      </a:custGeom>
                      <a:ln w="12700" cap="flat">
                        <a:custDash>
                          <a:ds d="400000" sp="300000"/>
                        </a:custDash>
                        <a:round/>
                      </a:ln>
                    </wps:spPr>
                    <wps:style>
                      <a:lnRef idx="1">
                        <a:srgbClr val="f79646"/>
                      </a:lnRef>
                      <a:fillRef idx="0">
                        <a:srgbClr val="000000">
                          <a:alpha val="0"/>
                        </a:srgbClr>
                      </a:fillRef>
                      <a:effectRef idx="0"/>
                      <a:fontRef idx="none"/>
                    </wps:style>
                    <wps:bodyPr/>
                  </wps:wsp>
                  <wps:wsp>
                    <wps:cNvPr id="24269" name="Rectangle 24269"/>
                    <wps:cNvSpPr/>
                    <wps:spPr>
                      <a:xfrm>
                        <a:off x="6456553" y="91892"/>
                        <a:ext cx="523882" cy="186236"/>
                      </a:xfrm>
                      <a:prstGeom prst="rect">
                        <a:avLst/>
                      </a:prstGeom>
                      <a:ln>
                        <a:noFill/>
                      </a:ln>
                    </wps:spPr>
                    <wps:txbx>
                      <w:txbxContent>
                        <w:p>
                          <w:pPr>
                            <w:spacing w:before="0" w:after="160" w:line="259" w:lineRule="auto"/>
                            <w:ind w:left="0" w:firstLine="0"/>
                            <w:jc w:val="left"/>
                          </w:pPr>
                          <w:r>
                            <w:rPr>
                              <w:sz w:val="20"/>
                            </w:rPr>
                            <w:t xml:space="preserve">EPP 1.4</w:t>
                          </w:r>
                        </w:p>
                      </w:txbxContent>
                    </wps:txbx>
                    <wps:bodyPr horzOverflow="overflow" rtlCol="0" vert="horz" lIns="0" tIns="0" rIns="0" bIns="0">
                      <a:noAutofit/>
                    </wps:bodyPr>
                  </wps:wsp>
                  <wps:wsp>
                    <wps:cNvPr id="24270" name="Rectangle 24270"/>
                    <wps:cNvSpPr/>
                    <wps:spPr>
                      <a:xfrm>
                        <a:off x="6848221" y="91892"/>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24271" name="Rectangle 24271"/>
                    <wps:cNvSpPr/>
                    <wps:spPr>
                      <a:xfrm>
                        <a:off x="5493385" y="236672"/>
                        <a:ext cx="3127140" cy="186236"/>
                      </a:xfrm>
                      <a:prstGeom prst="rect">
                        <a:avLst/>
                      </a:prstGeom>
                      <a:ln>
                        <a:noFill/>
                      </a:ln>
                    </wps:spPr>
                    <wps:txbx>
                      <w:txbxContent>
                        <w:p>
                          <w:pPr>
                            <w:spacing w:before="0" w:after="160" w:line="259" w:lineRule="auto"/>
                            <w:ind w:left="0" w:firstLine="0"/>
                            <w:jc w:val="left"/>
                          </w:pPr>
                          <w:r>
                            <w:rPr>
                              <w:sz w:val="20"/>
                            </w:rPr>
                            <w:t xml:space="preserve">Les structures nationales et les communautés de </w:t>
                          </w:r>
                        </w:p>
                      </w:txbxContent>
                    </wps:txbx>
                    <wps:bodyPr horzOverflow="overflow" rtlCol="0" vert="horz" lIns="0" tIns="0" rIns="0" bIns="0">
                      <a:noAutofit/>
                    </wps:bodyPr>
                  </wps:wsp>
                  <wps:wsp>
                    <wps:cNvPr id="24272" name="Rectangle 24272"/>
                    <wps:cNvSpPr/>
                    <wps:spPr>
                      <a:xfrm>
                        <a:off x="5665597" y="382977"/>
                        <a:ext cx="2667525" cy="186236"/>
                      </a:xfrm>
                      <a:prstGeom prst="rect">
                        <a:avLst/>
                      </a:prstGeom>
                      <a:ln>
                        <a:noFill/>
                      </a:ln>
                    </wps:spPr>
                    <wps:txbx>
                      <w:txbxContent>
                        <w:p>
                          <w:pPr>
                            <w:spacing w:before="0" w:after="160" w:line="259" w:lineRule="auto"/>
                            <w:ind w:left="0" w:firstLine="0"/>
                            <w:jc w:val="left"/>
                          </w:pPr>
                          <w:r>
                            <w:rPr>
                              <w:sz w:val="20"/>
                            </w:rPr>
                            <w:t xml:space="preserve">base pratiquent une approche intégrée de </w:t>
                          </w:r>
                        </w:p>
                      </w:txbxContent>
                    </wps:txbx>
                    <wps:bodyPr horzOverflow="overflow" rtlCol="0" vert="horz" lIns="0" tIns="0" rIns="0" bIns="0">
                      <a:noAutofit/>
                    </wps:bodyPr>
                  </wps:wsp>
                  <wps:wsp>
                    <wps:cNvPr id="24273" name="Rectangle 24273"/>
                    <wps:cNvSpPr/>
                    <wps:spPr>
                      <a:xfrm>
                        <a:off x="5404993" y="529281"/>
                        <a:ext cx="2653225" cy="186236"/>
                      </a:xfrm>
                      <a:prstGeom prst="rect">
                        <a:avLst/>
                      </a:prstGeom>
                      <a:ln>
                        <a:noFill/>
                      </a:ln>
                    </wps:spPr>
                    <wps:txbx>
                      <w:txbxContent>
                        <w:p>
                          <w:pPr>
                            <w:spacing w:before="0" w:after="160" w:line="259" w:lineRule="auto"/>
                            <w:ind w:left="0" w:firstLine="0"/>
                            <w:jc w:val="left"/>
                          </w:pPr>
                          <w:r>
                            <w:rPr>
                              <w:sz w:val="20"/>
                            </w:rPr>
                            <w:t xml:space="preserve">développement durable et de gestion des </w:t>
                          </w:r>
                        </w:p>
                      </w:txbxContent>
                    </wps:txbx>
                    <wps:bodyPr horzOverflow="overflow" rtlCol="0" vert="horz" lIns="0" tIns="0" rIns="0" bIns="0">
                      <a:noAutofit/>
                    </wps:bodyPr>
                  </wps:wsp>
                  <wps:wsp>
                    <wps:cNvPr id="24274" name="Rectangle 24274"/>
                    <wps:cNvSpPr/>
                    <wps:spPr>
                      <a:xfrm>
                        <a:off x="7396861" y="529281"/>
                        <a:ext cx="712809" cy="186236"/>
                      </a:xfrm>
                      <a:prstGeom prst="rect">
                        <a:avLst/>
                      </a:prstGeom>
                      <a:ln>
                        <a:noFill/>
                      </a:ln>
                    </wps:spPr>
                    <wps:txbx>
                      <w:txbxContent>
                        <w:p>
                          <w:pPr>
                            <w:spacing w:before="0" w:after="160" w:line="259" w:lineRule="auto"/>
                            <w:ind w:left="0" w:firstLine="0"/>
                            <w:jc w:val="left"/>
                          </w:pPr>
                          <w:r>
                            <w:rPr>
                              <w:sz w:val="20"/>
                            </w:rPr>
                            <w:t xml:space="preserve">ressources </w:t>
                          </w:r>
                        </w:p>
                      </w:txbxContent>
                    </wps:txbx>
                    <wps:bodyPr horzOverflow="overflow" rtlCol="0" vert="horz" lIns="0" tIns="0" rIns="0" bIns="0">
                      <a:noAutofit/>
                    </wps:bodyPr>
                  </wps:wsp>
                  <wps:wsp>
                    <wps:cNvPr id="24275" name="Rectangle 24275"/>
                    <wps:cNvSpPr/>
                    <wps:spPr>
                      <a:xfrm>
                        <a:off x="6418453" y="675584"/>
                        <a:ext cx="625018" cy="186236"/>
                      </a:xfrm>
                      <a:prstGeom prst="rect">
                        <a:avLst/>
                      </a:prstGeom>
                      <a:ln>
                        <a:noFill/>
                      </a:ln>
                    </wps:spPr>
                    <wps:txbx>
                      <w:txbxContent>
                        <w:p>
                          <w:pPr>
                            <w:spacing w:before="0" w:after="160" w:line="259" w:lineRule="auto"/>
                            <w:ind w:left="0" w:firstLine="0"/>
                            <w:jc w:val="left"/>
                          </w:pPr>
                          <w:r>
                            <w:rPr>
                              <w:sz w:val="20"/>
                            </w:rPr>
                            <w:t xml:space="preserve">naturelles</w:t>
                          </w:r>
                        </w:p>
                      </w:txbxContent>
                    </wps:txbx>
                    <wps:bodyPr horzOverflow="overflow" rtlCol="0" vert="horz" lIns="0" tIns="0" rIns="0" bIns="0">
                      <a:noAutofit/>
                    </wps:bodyPr>
                  </wps:wsp>
                  <wps:wsp>
                    <wps:cNvPr id="24276" name="Rectangle 24276"/>
                    <wps:cNvSpPr/>
                    <wps:spPr>
                      <a:xfrm>
                        <a:off x="6886321" y="675584"/>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24278" name="Shape 24278"/>
                    <wps:cNvSpPr/>
                    <wps:spPr>
                      <a:xfrm>
                        <a:off x="1140460" y="1143000"/>
                        <a:ext cx="2740025" cy="941705"/>
                      </a:xfrm>
                      <a:custGeom>
                        <a:pathLst>
                          <a:path w="2740025" h="941705">
                            <a:moveTo>
                              <a:pt x="156972" y="0"/>
                            </a:moveTo>
                            <a:cubicBezTo>
                              <a:pt x="70231" y="0"/>
                              <a:pt x="0" y="70231"/>
                              <a:pt x="0" y="156972"/>
                            </a:cubicBezTo>
                            <a:lnTo>
                              <a:pt x="0" y="784733"/>
                            </a:lnTo>
                            <a:cubicBezTo>
                              <a:pt x="0" y="871474"/>
                              <a:pt x="70231" y="941705"/>
                              <a:pt x="156972" y="941705"/>
                            </a:cubicBezTo>
                            <a:lnTo>
                              <a:pt x="2583053" y="941705"/>
                            </a:lnTo>
                            <a:cubicBezTo>
                              <a:pt x="2669794" y="941705"/>
                              <a:pt x="2740025" y="871474"/>
                              <a:pt x="2740025" y="784733"/>
                            </a:cubicBezTo>
                            <a:lnTo>
                              <a:pt x="2740025" y="156972"/>
                            </a:lnTo>
                            <a:cubicBezTo>
                              <a:pt x="2740025" y="70231"/>
                              <a:pt x="2669794" y="0"/>
                              <a:pt x="2583053" y="0"/>
                            </a:cubicBezTo>
                            <a:close/>
                          </a:path>
                        </a:pathLst>
                      </a:custGeom>
                      <a:ln w="31750" cap="rnd">
                        <a:round/>
                      </a:ln>
                    </wps:spPr>
                    <wps:style>
                      <a:lnRef idx="1">
                        <a:srgbClr val="000000"/>
                      </a:lnRef>
                      <a:fillRef idx="0">
                        <a:srgbClr val="000000">
                          <a:alpha val="0"/>
                        </a:srgbClr>
                      </a:fillRef>
                      <a:effectRef idx="0"/>
                      <a:fontRef idx="none"/>
                    </wps:style>
                    <wps:bodyPr/>
                  </wps:wsp>
                  <wps:wsp>
                    <wps:cNvPr id="24279" name="Rectangle 24279"/>
                    <wps:cNvSpPr/>
                    <wps:spPr>
                      <a:xfrm>
                        <a:off x="2056130" y="1250514"/>
                        <a:ext cx="1209269"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Produit 1 EPP11</w:t>
                          </w:r>
                        </w:p>
                      </w:txbxContent>
                    </wps:txbx>
                    <wps:bodyPr horzOverflow="overflow" rtlCol="0" vert="horz" lIns="0" tIns="0" rIns="0" bIns="0">
                      <a:noAutofit/>
                    </wps:bodyPr>
                  </wps:wsp>
                  <wps:wsp>
                    <wps:cNvPr id="24280" name="Rectangle 24280"/>
                    <wps:cNvSpPr/>
                    <wps:spPr>
                      <a:xfrm>
                        <a:off x="2966339" y="1250514"/>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24281" name="Rectangle 24281"/>
                    <wps:cNvSpPr/>
                    <wps:spPr>
                      <a:xfrm>
                        <a:off x="1301750" y="1392246"/>
                        <a:ext cx="3256681"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Les thèmes transversaux sont mieux intégrés dans </w:t>
                          </w:r>
                        </w:p>
                      </w:txbxContent>
                    </wps:txbx>
                    <wps:bodyPr horzOverflow="overflow" rtlCol="0" vert="horz" lIns="0" tIns="0" rIns="0" bIns="0">
                      <a:noAutofit/>
                    </wps:bodyPr>
                  </wps:wsp>
                  <wps:wsp>
                    <wps:cNvPr id="24282" name="Rectangle 24282"/>
                    <wps:cNvSpPr/>
                    <wps:spPr>
                      <a:xfrm>
                        <a:off x="1499870" y="1538550"/>
                        <a:ext cx="731315"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la SCADD </w:t>
                          </w:r>
                        </w:p>
                      </w:txbxContent>
                    </wps:txbx>
                    <wps:bodyPr horzOverflow="overflow" rtlCol="0" vert="horz" lIns="0" tIns="0" rIns="0" bIns="0">
                      <a:noAutofit/>
                    </wps:bodyPr>
                  </wps:wsp>
                  <wps:wsp>
                    <wps:cNvPr id="24283" name="Rectangle 24283"/>
                    <wps:cNvSpPr/>
                    <wps:spPr>
                      <a:xfrm>
                        <a:off x="2046986" y="1538550"/>
                        <a:ext cx="2004176"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et les politiques sectorielles de </w:t>
                          </w:r>
                        </w:p>
                      </w:txbxContent>
                    </wps:txbx>
                    <wps:bodyPr horzOverflow="overflow" rtlCol="0" vert="horz" lIns="0" tIns="0" rIns="0" bIns="0">
                      <a:noAutofit/>
                    </wps:bodyPr>
                  </wps:wsp>
                  <wps:wsp>
                    <wps:cNvPr id="24284" name="Rectangle 24284"/>
                    <wps:cNvSpPr/>
                    <wps:spPr>
                      <a:xfrm>
                        <a:off x="2132330" y="1684853"/>
                        <a:ext cx="100923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développement.</w:t>
                          </w:r>
                        </w:p>
                      </w:txbxContent>
                    </wps:txbx>
                    <wps:bodyPr horzOverflow="overflow" rtlCol="0" vert="horz" lIns="0" tIns="0" rIns="0" bIns="0">
                      <a:noAutofit/>
                    </wps:bodyPr>
                  </wps:wsp>
                  <wps:wsp>
                    <wps:cNvPr id="24285" name="Rectangle 24285"/>
                    <wps:cNvSpPr/>
                    <wps:spPr>
                      <a:xfrm>
                        <a:off x="2890139" y="1684853"/>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wps:txbx>
                    <wps:bodyPr horzOverflow="overflow" rtlCol="0" vert="horz" lIns="0" tIns="0" rIns="0" bIns="0">
                      <a:noAutofit/>
                    </wps:bodyPr>
                  </wps:wsp>
                  <wps:wsp>
                    <wps:cNvPr id="24286" name="Rectangle 24286"/>
                    <wps:cNvSpPr/>
                    <wps:spPr>
                      <a:xfrm>
                        <a:off x="2510282" y="1834206"/>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24287" name="Shape 24287"/>
                    <wps:cNvSpPr/>
                    <wps:spPr>
                      <a:xfrm>
                        <a:off x="2529205" y="964565"/>
                        <a:ext cx="635" cy="178435"/>
                      </a:xfrm>
                      <a:custGeom>
                        <a:pathLst>
                          <a:path w="635" h="178435">
                            <a:moveTo>
                              <a:pt x="0" y="0"/>
                            </a:moveTo>
                            <a:lnTo>
                              <a:pt x="635" y="178435"/>
                            </a:lnTo>
                          </a:path>
                        </a:pathLst>
                      </a:custGeom>
                      <a:ln w="9525" cap="rnd">
                        <a:round/>
                      </a:ln>
                    </wps:spPr>
                    <wps:style>
                      <a:lnRef idx="1">
                        <a:srgbClr val="000000"/>
                      </a:lnRef>
                      <a:fillRef idx="0">
                        <a:srgbClr val="000000">
                          <a:alpha val="0"/>
                        </a:srgbClr>
                      </a:fillRef>
                      <a:effectRef idx="0"/>
                      <a:fontRef idx="none"/>
                    </wps:style>
                    <wps:bodyPr/>
                  </wps:wsp>
                  <wps:wsp>
                    <wps:cNvPr id="187317" name="Shape 187317"/>
                    <wps:cNvSpPr/>
                    <wps:spPr>
                      <a:xfrm>
                        <a:off x="601345" y="2419350"/>
                        <a:ext cx="2066925" cy="1007110"/>
                      </a:xfrm>
                      <a:custGeom>
                        <a:pathLst>
                          <a:path w="2066925" h="1007110">
                            <a:moveTo>
                              <a:pt x="0" y="0"/>
                            </a:moveTo>
                            <a:lnTo>
                              <a:pt x="2066925" y="0"/>
                            </a:lnTo>
                            <a:lnTo>
                              <a:pt x="2066925" y="1007110"/>
                            </a:lnTo>
                            <a:lnTo>
                              <a:pt x="0" y="1007110"/>
                            </a:lnTo>
                            <a:lnTo>
                              <a:pt x="0" y="0"/>
                            </a:lnTo>
                          </a:path>
                        </a:pathLst>
                      </a:custGeom>
                      <a:ln w="0" cap="rnd">
                        <a:round/>
                      </a:ln>
                    </wps:spPr>
                    <wps:style>
                      <a:lnRef idx="0">
                        <a:srgbClr val="000000">
                          <a:alpha val="0"/>
                        </a:srgbClr>
                      </a:lnRef>
                      <a:fillRef idx="1">
                        <a:srgbClr val="205867"/>
                      </a:fillRef>
                      <a:effectRef idx="0"/>
                      <a:fontRef idx="none"/>
                    </wps:style>
                    <wps:bodyPr/>
                  </wps:wsp>
                  <pic:pic xmlns:pic="http://schemas.openxmlformats.org/drawingml/2006/picture">
                    <pic:nvPicPr>
                      <pic:cNvPr id="179128" name="Picture 179128"/>
                      <pic:cNvPicPr/>
                    </pic:nvPicPr>
                    <pic:blipFill>
                      <a:blip r:embed="rId62"/>
                      <a:stretch>
                        <a:fillRect/>
                      </a:stretch>
                    </pic:blipFill>
                    <pic:spPr>
                      <a:xfrm>
                        <a:off x="583184" y="2388235"/>
                        <a:ext cx="2075688" cy="1011936"/>
                      </a:xfrm>
                      <a:prstGeom prst="rect">
                        <a:avLst/>
                      </a:prstGeom>
                    </pic:spPr>
                  </pic:pic>
                  <wps:wsp>
                    <wps:cNvPr id="24290" name="Shape 24290"/>
                    <wps:cNvSpPr/>
                    <wps:spPr>
                      <a:xfrm>
                        <a:off x="588645" y="2393950"/>
                        <a:ext cx="2066925" cy="1007110"/>
                      </a:xfrm>
                      <a:custGeom>
                        <a:pathLst>
                          <a:path w="2066925" h="1007110">
                            <a:moveTo>
                              <a:pt x="0" y="1007110"/>
                            </a:moveTo>
                            <a:lnTo>
                              <a:pt x="2066925" y="1007110"/>
                            </a:lnTo>
                            <a:lnTo>
                              <a:pt x="2066925"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24291" name="Rectangle 24291"/>
                    <wps:cNvSpPr/>
                    <wps:spPr>
                      <a:xfrm>
                        <a:off x="1259078" y="2448768"/>
                        <a:ext cx="96638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1. projet</w:t>
                          </w:r>
                        </w:p>
                      </w:txbxContent>
                    </wps:txbx>
                    <wps:bodyPr horzOverflow="overflow" rtlCol="0" vert="horz" lIns="0" tIns="0" rIns="0" bIns="0">
                      <a:noAutofit/>
                    </wps:bodyPr>
                  </wps:wsp>
                  <wps:wsp>
                    <wps:cNvPr id="24292" name="Rectangle 24292"/>
                    <wps:cNvSpPr/>
                    <wps:spPr>
                      <a:xfrm>
                        <a:off x="1984502"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4293" name="Rectangle 24293"/>
                    <wps:cNvSpPr/>
                    <wps:spPr>
                      <a:xfrm>
                        <a:off x="686054" y="2564592"/>
                        <a:ext cx="2334737" cy="150334"/>
                      </a:xfrm>
                      <a:prstGeom prst="rect">
                        <a:avLst/>
                      </a:prstGeom>
                      <a:ln>
                        <a:noFill/>
                      </a:ln>
                    </wps:spPr>
                    <wps:txbx>
                      <w:txbxContent>
                        <w:p>
                          <w:pPr>
                            <w:spacing w:before="0" w:after="160" w:line="259" w:lineRule="auto"/>
                            <w:ind w:left="0" w:firstLine="0"/>
                            <w:jc w:val="left"/>
                          </w:pPr>
                          <w:r>
                            <w:rPr>
                              <w:sz w:val="16"/>
                            </w:rPr>
                            <w:t xml:space="preserve">Les structures centrales sont outillées pour </w:t>
                          </w:r>
                        </w:p>
                      </w:txbxContent>
                    </wps:txbx>
                    <wps:bodyPr horzOverflow="overflow" rtlCol="0" vert="horz" lIns="0" tIns="0" rIns="0" bIns="0">
                      <a:noAutofit/>
                    </wps:bodyPr>
                  </wps:wsp>
                  <wps:wsp>
                    <wps:cNvPr id="24294" name="Rectangle 24294"/>
                    <wps:cNvSpPr/>
                    <wps:spPr>
                      <a:xfrm>
                        <a:off x="686054" y="2680416"/>
                        <a:ext cx="2348453" cy="150334"/>
                      </a:xfrm>
                      <a:prstGeom prst="rect">
                        <a:avLst/>
                      </a:prstGeom>
                      <a:ln>
                        <a:noFill/>
                      </a:ln>
                    </wps:spPr>
                    <wps:txbx>
                      <w:txbxContent>
                        <w:p>
                          <w:pPr>
                            <w:spacing w:before="0" w:after="160" w:line="259" w:lineRule="auto"/>
                            <w:ind w:left="0" w:firstLine="0"/>
                            <w:jc w:val="left"/>
                          </w:pPr>
                          <w:r>
                            <w:rPr>
                              <w:sz w:val="16"/>
                            </w:rPr>
                            <w:t xml:space="preserve">assurer la prise en compte des principes du </w:t>
                          </w:r>
                        </w:p>
                      </w:txbxContent>
                    </wps:txbx>
                    <wps:bodyPr horzOverflow="overflow" rtlCol="0" vert="horz" lIns="0" tIns="0" rIns="0" bIns="0">
                      <a:noAutofit/>
                    </wps:bodyPr>
                  </wps:wsp>
                  <wps:wsp>
                    <wps:cNvPr id="24295" name="Rectangle 24295"/>
                    <wps:cNvSpPr/>
                    <wps:spPr>
                      <a:xfrm>
                        <a:off x="686054" y="2817944"/>
                        <a:ext cx="2376700" cy="123537"/>
                      </a:xfrm>
                      <a:prstGeom prst="rect">
                        <a:avLst/>
                      </a:prstGeom>
                      <a:ln>
                        <a:noFill/>
                      </a:ln>
                    </wps:spPr>
                    <wps:txbx>
                      <w:txbxContent>
                        <w:p>
                          <w:pPr>
                            <w:spacing w:before="0" w:after="160" w:line="259" w:lineRule="auto"/>
                            <w:ind w:left="0" w:firstLine="0"/>
                            <w:jc w:val="left"/>
                          </w:pPr>
                          <w:r>
                            <w:rPr>
                              <w:sz w:val="16"/>
                            </w:rPr>
                            <w:t xml:space="preserve">DD dans la mise en œuvre de la SCADD et </w:t>
                          </w:r>
                        </w:p>
                      </w:txbxContent>
                    </wps:txbx>
                    <wps:bodyPr horzOverflow="overflow" rtlCol="0" vert="horz" lIns="0" tIns="0" rIns="0" bIns="0">
                      <a:noAutofit/>
                    </wps:bodyPr>
                  </wps:wsp>
                  <wps:wsp>
                    <wps:cNvPr id="24296" name="Rectangle 24296"/>
                    <wps:cNvSpPr/>
                    <wps:spPr>
                      <a:xfrm>
                        <a:off x="686054" y="2915366"/>
                        <a:ext cx="1913043" cy="150334"/>
                      </a:xfrm>
                      <a:prstGeom prst="rect">
                        <a:avLst/>
                      </a:prstGeom>
                      <a:ln>
                        <a:noFill/>
                      </a:ln>
                    </wps:spPr>
                    <wps:txbx>
                      <w:txbxContent>
                        <w:p>
                          <w:pPr>
                            <w:spacing w:before="0" w:after="160" w:line="259" w:lineRule="auto"/>
                            <w:ind w:left="0" w:firstLine="0"/>
                            <w:jc w:val="left"/>
                          </w:pPr>
                          <w:r>
                            <w:rPr>
                              <w:sz w:val="16"/>
                            </w:rPr>
                            <w:t xml:space="preserve">des plans locaux de développement</w:t>
                          </w:r>
                        </w:p>
                      </w:txbxContent>
                    </wps:txbx>
                    <wps:bodyPr horzOverflow="overflow" rtlCol="0" vert="horz" lIns="0" tIns="0" rIns="0" bIns="0">
                      <a:noAutofit/>
                    </wps:bodyPr>
                  </wps:wsp>
                  <wps:wsp>
                    <wps:cNvPr id="24297" name="Rectangle 24297"/>
                    <wps:cNvSpPr/>
                    <wps:spPr>
                      <a:xfrm>
                        <a:off x="2124710" y="2870556"/>
                        <a:ext cx="50673" cy="224380"/>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wps:txbx>
                    <wps:bodyPr horzOverflow="overflow" rtlCol="0" vert="horz" lIns="0" tIns="0" rIns="0" bIns="0">
                      <a:noAutofit/>
                    </wps:bodyPr>
                  </wps:wsp>
                  <wps:wsp>
                    <wps:cNvPr id="24298" name="Rectangle 24298"/>
                    <wps:cNvSpPr/>
                    <wps:spPr>
                      <a:xfrm>
                        <a:off x="1621790" y="3034238"/>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187318" name="Shape 187318"/>
                    <wps:cNvSpPr/>
                    <wps:spPr>
                      <a:xfrm>
                        <a:off x="7005320" y="2419350"/>
                        <a:ext cx="1868170" cy="1047115"/>
                      </a:xfrm>
                      <a:custGeom>
                        <a:pathLst>
                          <a:path w="1868170" h="1047115">
                            <a:moveTo>
                              <a:pt x="0" y="0"/>
                            </a:moveTo>
                            <a:lnTo>
                              <a:pt x="1868170" y="0"/>
                            </a:lnTo>
                            <a:lnTo>
                              <a:pt x="1868170" y="1047115"/>
                            </a:lnTo>
                            <a:lnTo>
                              <a:pt x="0" y="1047115"/>
                            </a:lnTo>
                            <a:lnTo>
                              <a:pt x="0" y="0"/>
                            </a:lnTo>
                          </a:path>
                        </a:pathLst>
                      </a:custGeom>
                      <a:ln w="0" cap="rnd">
                        <a:miter lim="101600"/>
                      </a:ln>
                    </wps:spPr>
                    <wps:style>
                      <a:lnRef idx="0">
                        <a:srgbClr val="000000">
                          <a:alpha val="0"/>
                        </a:srgbClr>
                      </a:lnRef>
                      <a:fillRef idx="1">
                        <a:srgbClr val="205867"/>
                      </a:fillRef>
                      <a:effectRef idx="0"/>
                      <a:fontRef idx="none"/>
                    </wps:style>
                    <wps:bodyPr/>
                  </wps:wsp>
                  <pic:pic xmlns:pic="http://schemas.openxmlformats.org/drawingml/2006/picture">
                    <pic:nvPicPr>
                      <pic:cNvPr id="179129" name="Picture 179129"/>
                      <pic:cNvPicPr/>
                    </pic:nvPicPr>
                    <pic:blipFill>
                      <a:blip r:embed="rId63"/>
                      <a:stretch>
                        <a:fillRect/>
                      </a:stretch>
                    </pic:blipFill>
                    <pic:spPr>
                      <a:xfrm>
                        <a:off x="6987032" y="2388235"/>
                        <a:ext cx="1874521" cy="1051560"/>
                      </a:xfrm>
                      <a:prstGeom prst="rect">
                        <a:avLst/>
                      </a:prstGeom>
                    </pic:spPr>
                  </pic:pic>
                  <wps:wsp>
                    <wps:cNvPr id="24301" name="Shape 24301"/>
                    <wps:cNvSpPr/>
                    <wps:spPr>
                      <a:xfrm>
                        <a:off x="6992620" y="2393950"/>
                        <a:ext cx="1868170" cy="1047115"/>
                      </a:xfrm>
                      <a:custGeom>
                        <a:pathLst>
                          <a:path w="1868170" h="1047115">
                            <a:moveTo>
                              <a:pt x="0" y="1047115"/>
                            </a:moveTo>
                            <a:lnTo>
                              <a:pt x="1868170" y="1047115"/>
                            </a:lnTo>
                            <a:lnTo>
                              <a:pt x="1868170"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24302" name="Rectangle 24302"/>
                    <wps:cNvSpPr/>
                    <wps:spPr>
                      <a:xfrm>
                        <a:off x="7564882" y="2448768"/>
                        <a:ext cx="47735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w:t>
                          </w:r>
                        </w:p>
                      </w:txbxContent>
                    </wps:txbx>
                    <wps:bodyPr horzOverflow="overflow" rtlCol="0" vert="horz" lIns="0" tIns="0" rIns="0" bIns="0">
                      <a:noAutofit/>
                    </wps:bodyPr>
                  </wps:wsp>
                  <wps:wsp>
                    <wps:cNvPr id="24303" name="Rectangle 24303"/>
                    <wps:cNvSpPr/>
                    <wps:spPr>
                      <a:xfrm>
                        <a:off x="7924546" y="2448768"/>
                        <a:ext cx="67902"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4</w:t>
                          </w:r>
                        </w:p>
                      </w:txbxContent>
                    </wps:txbx>
                    <wps:bodyPr horzOverflow="overflow" rtlCol="0" vert="horz" lIns="0" tIns="0" rIns="0" bIns="0">
                      <a:noAutofit/>
                    </wps:bodyPr>
                  </wps:wsp>
                  <wps:wsp>
                    <wps:cNvPr id="24304" name="Rectangle 24304"/>
                    <wps:cNvSpPr/>
                    <wps:spPr>
                      <a:xfrm>
                        <a:off x="7974838" y="2448768"/>
                        <a:ext cx="421672"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projet</w:t>
                          </w:r>
                        </w:p>
                      </w:txbxContent>
                    </wps:txbx>
                    <wps:bodyPr horzOverflow="overflow" rtlCol="0" vert="horz" lIns="0" tIns="0" rIns="0" bIns="0">
                      <a:noAutofit/>
                    </wps:bodyPr>
                  </wps:wsp>
                  <wps:wsp>
                    <wps:cNvPr id="24305" name="Rectangle 24305"/>
                    <wps:cNvSpPr/>
                    <wps:spPr>
                      <a:xfrm>
                        <a:off x="8290307"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4306" name="Rectangle 24306"/>
                    <wps:cNvSpPr/>
                    <wps:spPr>
                      <a:xfrm>
                        <a:off x="7162165" y="2564592"/>
                        <a:ext cx="2068018" cy="150334"/>
                      </a:xfrm>
                      <a:prstGeom prst="rect">
                        <a:avLst/>
                      </a:prstGeom>
                      <a:ln>
                        <a:noFill/>
                      </a:ln>
                    </wps:spPr>
                    <wps:txbx>
                      <w:txbxContent>
                        <w:p>
                          <w:pPr>
                            <w:spacing w:before="0" w:after="160" w:line="259" w:lineRule="auto"/>
                            <w:ind w:left="0" w:firstLine="0"/>
                            <w:jc w:val="left"/>
                          </w:pPr>
                          <w:r>
                            <w:rPr>
                              <w:sz w:val="16"/>
                            </w:rPr>
                            <w:t xml:space="preserve">Les CT et les communautés ont accès </w:t>
                          </w:r>
                        </w:p>
                      </w:txbxContent>
                    </wps:txbx>
                    <wps:bodyPr horzOverflow="overflow" rtlCol="0" vert="horz" lIns="0" tIns="0" rIns="0" bIns="0">
                      <a:noAutofit/>
                    </wps:bodyPr>
                  </wps:wsp>
                  <wps:wsp>
                    <wps:cNvPr id="24307" name="Rectangle 24307"/>
                    <wps:cNvSpPr/>
                    <wps:spPr>
                      <a:xfrm>
                        <a:off x="7229221" y="2680416"/>
                        <a:ext cx="1890794" cy="150334"/>
                      </a:xfrm>
                      <a:prstGeom prst="rect">
                        <a:avLst/>
                      </a:prstGeom>
                      <a:ln>
                        <a:noFill/>
                      </a:ln>
                    </wps:spPr>
                    <wps:txbx>
                      <w:txbxContent>
                        <w:p>
                          <w:pPr>
                            <w:spacing w:before="0" w:after="160" w:line="259" w:lineRule="auto"/>
                            <w:ind w:left="0" w:firstLine="0"/>
                            <w:jc w:val="left"/>
                          </w:pPr>
                          <w:r>
                            <w:rPr>
                              <w:sz w:val="16"/>
                            </w:rPr>
                            <w:t xml:space="preserve">aux sources de financement et aux </w:t>
                          </w:r>
                        </w:p>
                      </w:txbxContent>
                    </wps:txbx>
                    <wps:bodyPr horzOverflow="overflow" rtlCol="0" vert="horz" lIns="0" tIns="0" rIns="0" bIns="0">
                      <a:noAutofit/>
                    </wps:bodyPr>
                  </wps:wsp>
                  <wps:wsp>
                    <wps:cNvPr id="24308" name="Rectangle 24308"/>
                    <wps:cNvSpPr/>
                    <wps:spPr>
                      <a:xfrm>
                        <a:off x="7134733" y="2797764"/>
                        <a:ext cx="2142303" cy="150334"/>
                      </a:xfrm>
                      <a:prstGeom prst="rect">
                        <a:avLst/>
                      </a:prstGeom>
                      <a:ln>
                        <a:noFill/>
                      </a:ln>
                    </wps:spPr>
                    <wps:txbx>
                      <w:txbxContent>
                        <w:p>
                          <w:pPr>
                            <w:spacing w:before="0" w:after="160" w:line="259" w:lineRule="auto"/>
                            <w:ind w:left="0" w:firstLine="0"/>
                            <w:jc w:val="left"/>
                          </w:pPr>
                          <w:r>
                            <w:rPr>
                              <w:sz w:val="16"/>
                            </w:rPr>
                            <w:t xml:space="preserve">technologies appropriés pour mettre en </w:t>
                          </w:r>
                        </w:p>
                      </w:txbxContent>
                    </wps:txbx>
                    <wps:bodyPr horzOverflow="overflow" rtlCol="0" vert="horz" lIns="0" tIns="0" rIns="0" bIns="0">
                      <a:noAutofit/>
                    </wps:bodyPr>
                  </wps:wsp>
                  <wps:wsp>
                    <wps:cNvPr id="24309" name="Rectangle 24309"/>
                    <wps:cNvSpPr/>
                    <wps:spPr>
                      <a:xfrm>
                        <a:off x="7390765" y="2935547"/>
                        <a:ext cx="1459482" cy="123537"/>
                      </a:xfrm>
                      <a:prstGeom prst="rect">
                        <a:avLst/>
                      </a:prstGeom>
                      <a:ln>
                        <a:noFill/>
                      </a:ln>
                    </wps:spPr>
                    <wps:txbx>
                      <w:txbxContent>
                        <w:p>
                          <w:pPr>
                            <w:spacing w:before="0" w:after="160" w:line="259" w:lineRule="auto"/>
                            <w:ind w:left="0" w:firstLine="0"/>
                            <w:jc w:val="left"/>
                          </w:pPr>
                          <w:r>
                            <w:rPr>
                              <w:sz w:val="16"/>
                            </w:rPr>
                            <w:t xml:space="preserve">œuvre des plans locaux de </w:t>
                          </w:r>
                        </w:p>
                      </w:txbxContent>
                    </wps:txbx>
                    <wps:bodyPr horzOverflow="overflow" rtlCol="0" vert="horz" lIns="0" tIns="0" rIns="0" bIns="0">
                      <a:noAutofit/>
                    </wps:bodyPr>
                  </wps:wsp>
                  <wps:wsp>
                    <wps:cNvPr id="24310" name="Rectangle 24310"/>
                    <wps:cNvSpPr/>
                    <wps:spPr>
                      <a:xfrm>
                        <a:off x="7322185" y="3031190"/>
                        <a:ext cx="1644175" cy="150334"/>
                      </a:xfrm>
                      <a:prstGeom prst="rect">
                        <a:avLst/>
                      </a:prstGeom>
                      <a:ln>
                        <a:noFill/>
                      </a:ln>
                    </wps:spPr>
                    <wps:txbx>
                      <w:txbxContent>
                        <w:p>
                          <w:pPr>
                            <w:spacing w:before="0" w:after="160" w:line="259" w:lineRule="auto"/>
                            <w:ind w:left="0" w:firstLine="0"/>
                            <w:jc w:val="left"/>
                          </w:pPr>
                          <w:r>
                            <w:rPr>
                              <w:sz w:val="16"/>
                            </w:rPr>
                            <w:t xml:space="preserve">développement  résilients aux </w:t>
                          </w:r>
                        </w:p>
                      </w:txbxContent>
                    </wps:txbx>
                    <wps:bodyPr horzOverflow="overflow" rtlCol="0" vert="horz" lIns="0" tIns="0" rIns="0" bIns="0">
                      <a:noAutofit/>
                    </wps:bodyPr>
                  </wps:wsp>
                  <wps:wsp>
                    <wps:cNvPr id="24311" name="Rectangle 24311"/>
                    <wps:cNvSpPr/>
                    <wps:spPr>
                      <a:xfrm>
                        <a:off x="7095109" y="3148538"/>
                        <a:ext cx="2245785" cy="150334"/>
                      </a:xfrm>
                      <a:prstGeom prst="rect">
                        <a:avLst/>
                      </a:prstGeom>
                      <a:ln>
                        <a:noFill/>
                      </a:ln>
                    </wps:spPr>
                    <wps:txbx>
                      <w:txbxContent>
                        <w:p>
                          <w:pPr>
                            <w:spacing w:before="0" w:after="160" w:line="259" w:lineRule="auto"/>
                            <w:ind w:left="0" w:firstLine="0"/>
                            <w:jc w:val="left"/>
                          </w:pPr>
                          <w:r>
                            <w:rPr>
                              <w:sz w:val="16"/>
                            </w:rPr>
                            <w:t xml:space="preserve">changements climatiques et orientés vers </w:t>
                          </w:r>
                        </w:p>
                      </w:txbxContent>
                    </wps:txbx>
                    <wps:bodyPr horzOverflow="overflow" rtlCol="0" vert="horz" lIns="0" tIns="0" rIns="0" bIns="0">
                      <a:noAutofit/>
                    </wps:bodyPr>
                  </wps:wsp>
                  <wps:wsp>
                    <wps:cNvPr id="24312" name="Rectangle 24312"/>
                    <wps:cNvSpPr/>
                    <wps:spPr>
                      <a:xfrm>
                        <a:off x="7363333" y="3270458"/>
                        <a:ext cx="1498886" cy="150334"/>
                      </a:xfrm>
                      <a:prstGeom prst="rect">
                        <a:avLst/>
                      </a:prstGeom>
                      <a:ln>
                        <a:noFill/>
                      </a:ln>
                    </wps:spPr>
                    <wps:txbx>
                      <w:txbxContent>
                        <w:p>
                          <w:pPr>
                            <w:spacing w:before="0" w:after="160" w:line="259" w:lineRule="auto"/>
                            <w:ind w:left="0" w:firstLine="0"/>
                            <w:jc w:val="left"/>
                          </w:pPr>
                          <w:r>
                            <w:rPr>
                              <w:sz w:val="16"/>
                            </w:rPr>
                            <w:t xml:space="preserve">une faible émission de GES</w:t>
                          </w:r>
                        </w:p>
                      </w:txbxContent>
                    </wps:txbx>
                    <wps:bodyPr horzOverflow="overflow" rtlCol="0" vert="horz" lIns="0" tIns="0" rIns="0" bIns="0">
                      <a:noAutofit/>
                    </wps:bodyPr>
                  </wps:wsp>
                  <wps:wsp>
                    <wps:cNvPr id="24313" name="Rectangle 24313"/>
                    <wps:cNvSpPr/>
                    <wps:spPr>
                      <a:xfrm>
                        <a:off x="8492998" y="3270458"/>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24314" name="Shape 24314"/>
                    <wps:cNvSpPr/>
                    <wps:spPr>
                      <a:xfrm>
                        <a:off x="5940425" y="2216785"/>
                        <a:ext cx="1979295" cy="635"/>
                      </a:xfrm>
                      <a:custGeom>
                        <a:pathLst>
                          <a:path w="1979295" h="635">
                            <a:moveTo>
                              <a:pt x="0" y="0"/>
                            </a:moveTo>
                            <a:lnTo>
                              <a:pt x="1979295" y="635"/>
                            </a:lnTo>
                          </a:path>
                        </a:pathLst>
                      </a:custGeom>
                      <a:ln w="9525" cap="rnd">
                        <a:round/>
                      </a:ln>
                    </wps:spPr>
                    <wps:style>
                      <a:lnRef idx="1">
                        <a:srgbClr val="000000"/>
                      </a:lnRef>
                      <a:fillRef idx="0">
                        <a:srgbClr val="000000">
                          <a:alpha val="0"/>
                        </a:srgbClr>
                      </a:fillRef>
                      <a:effectRef idx="0"/>
                      <a:fontRef idx="none"/>
                    </wps:style>
                    <wps:bodyPr/>
                  </wps:wsp>
                  <wps:wsp>
                    <wps:cNvPr id="187319" name="Shape 187319"/>
                    <wps:cNvSpPr/>
                    <wps:spPr>
                      <a:xfrm>
                        <a:off x="4974590" y="2419350"/>
                        <a:ext cx="1861185" cy="1047115"/>
                      </a:xfrm>
                      <a:custGeom>
                        <a:pathLst>
                          <a:path w="1861185" h="1047115">
                            <a:moveTo>
                              <a:pt x="0" y="0"/>
                            </a:moveTo>
                            <a:lnTo>
                              <a:pt x="1861185" y="0"/>
                            </a:lnTo>
                            <a:lnTo>
                              <a:pt x="1861185" y="1047115"/>
                            </a:lnTo>
                            <a:lnTo>
                              <a:pt x="0" y="1047115"/>
                            </a:lnTo>
                            <a:lnTo>
                              <a:pt x="0" y="0"/>
                            </a:lnTo>
                          </a:path>
                        </a:pathLst>
                      </a:custGeom>
                      <a:ln w="0" cap="rnd">
                        <a:round/>
                      </a:ln>
                    </wps:spPr>
                    <wps:style>
                      <a:lnRef idx="0">
                        <a:srgbClr val="000000">
                          <a:alpha val="0"/>
                        </a:srgbClr>
                      </a:lnRef>
                      <a:fillRef idx="1">
                        <a:srgbClr val="205867"/>
                      </a:fillRef>
                      <a:effectRef idx="0"/>
                      <a:fontRef idx="none"/>
                    </wps:style>
                    <wps:bodyPr/>
                  </wps:wsp>
                  <pic:pic xmlns:pic="http://schemas.openxmlformats.org/drawingml/2006/picture">
                    <pic:nvPicPr>
                      <pic:cNvPr id="179126" name="Picture 179126"/>
                      <pic:cNvPicPr/>
                    </pic:nvPicPr>
                    <pic:blipFill>
                      <a:blip r:embed="rId64"/>
                      <a:stretch>
                        <a:fillRect/>
                      </a:stretch>
                    </pic:blipFill>
                    <pic:spPr>
                      <a:xfrm>
                        <a:off x="4955032" y="2388235"/>
                        <a:ext cx="1868424" cy="1051560"/>
                      </a:xfrm>
                      <a:prstGeom prst="rect">
                        <a:avLst/>
                      </a:prstGeom>
                    </pic:spPr>
                  </pic:pic>
                  <wps:wsp>
                    <wps:cNvPr id="24317" name="Shape 24317"/>
                    <wps:cNvSpPr/>
                    <wps:spPr>
                      <a:xfrm>
                        <a:off x="4961890" y="2393950"/>
                        <a:ext cx="1861185" cy="1047115"/>
                      </a:xfrm>
                      <a:custGeom>
                        <a:pathLst>
                          <a:path w="1861185" h="1047115">
                            <a:moveTo>
                              <a:pt x="0" y="1047115"/>
                            </a:moveTo>
                            <a:lnTo>
                              <a:pt x="1861185" y="1047115"/>
                            </a:lnTo>
                            <a:lnTo>
                              <a:pt x="1861185"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24318" name="Rectangle 24318"/>
                    <wps:cNvSpPr/>
                    <wps:spPr>
                      <a:xfrm>
                        <a:off x="5529961" y="2448768"/>
                        <a:ext cx="47735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w:t>
                          </w:r>
                        </w:p>
                      </w:txbxContent>
                    </wps:txbx>
                    <wps:bodyPr horzOverflow="overflow" rtlCol="0" vert="horz" lIns="0" tIns="0" rIns="0" bIns="0">
                      <a:noAutofit/>
                    </wps:bodyPr>
                  </wps:wsp>
                  <wps:wsp>
                    <wps:cNvPr id="24319" name="Rectangle 24319"/>
                    <wps:cNvSpPr/>
                    <wps:spPr>
                      <a:xfrm>
                        <a:off x="5889625" y="2448768"/>
                        <a:ext cx="67902"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3</w:t>
                          </w:r>
                        </w:p>
                      </w:txbxContent>
                    </wps:txbx>
                    <wps:bodyPr horzOverflow="overflow" rtlCol="0" vert="horz" lIns="0" tIns="0" rIns="0" bIns="0">
                      <a:noAutofit/>
                    </wps:bodyPr>
                  </wps:wsp>
                  <wps:wsp>
                    <wps:cNvPr id="24320" name="Rectangle 24320"/>
                    <wps:cNvSpPr/>
                    <wps:spPr>
                      <a:xfrm>
                        <a:off x="5939918" y="2448768"/>
                        <a:ext cx="68408"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4321" name="Rectangle 24321"/>
                    <wps:cNvSpPr/>
                    <wps:spPr>
                      <a:xfrm>
                        <a:off x="5991733" y="2448768"/>
                        <a:ext cx="352954"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projet</w:t>
                          </w:r>
                        </w:p>
                      </w:txbxContent>
                    </wps:txbx>
                    <wps:bodyPr horzOverflow="overflow" rtlCol="0" vert="horz" lIns="0" tIns="0" rIns="0" bIns="0">
                      <a:noAutofit/>
                    </wps:bodyPr>
                  </wps:wsp>
                  <wps:wsp>
                    <wps:cNvPr id="24322" name="Rectangle 24322"/>
                    <wps:cNvSpPr/>
                    <wps:spPr>
                      <a:xfrm>
                        <a:off x="6255385"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4323" name="Rectangle 24323"/>
                    <wps:cNvSpPr/>
                    <wps:spPr>
                      <a:xfrm>
                        <a:off x="5167249" y="2564592"/>
                        <a:ext cx="82954" cy="150334"/>
                      </a:xfrm>
                      <a:prstGeom prst="rect">
                        <a:avLst/>
                      </a:prstGeom>
                      <a:ln>
                        <a:noFill/>
                      </a:ln>
                    </wps:spPr>
                    <wps:txbx>
                      <w:txbxContent>
                        <w:p>
                          <w:pPr>
                            <w:spacing w:before="0" w:after="160" w:line="259" w:lineRule="auto"/>
                            <w:ind w:left="0" w:firstLine="0"/>
                            <w:jc w:val="left"/>
                          </w:pPr>
                          <w:r>
                            <w:rPr>
                              <w:sz w:val="16"/>
                            </w:rPr>
                            <w:t xml:space="preserve">L</w:t>
                          </w:r>
                        </w:p>
                      </w:txbxContent>
                    </wps:txbx>
                    <wps:bodyPr horzOverflow="overflow" rtlCol="0" vert="horz" lIns="0" tIns="0" rIns="0" bIns="0">
                      <a:noAutofit/>
                    </wps:bodyPr>
                  </wps:wsp>
                  <wps:wsp>
                    <wps:cNvPr id="24324" name="Rectangle 24324"/>
                    <wps:cNvSpPr/>
                    <wps:spPr>
                      <a:xfrm>
                        <a:off x="5228209" y="2564592"/>
                        <a:ext cx="1915238" cy="150334"/>
                      </a:xfrm>
                      <a:prstGeom prst="rect">
                        <a:avLst/>
                      </a:prstGeom>
                      <a:ln>
                        <a:noFill/>
                      </a:ln>
                    </wps:spPr>
                    <wps:txbx>
                      <w:txbxContent>
                        <w:p>
                          <w:pPr>
                            <w:spacing w:before="0" w:after="160" w:line="259" w:lineRule="auto"/>
                            <w:ind w:left="0" w:firstLine="0"/>
                            <w:jc w:val="left"/>
                          </w:pPr>
                          <w:r>
                            <w:rPr>
                              <w:sz w:val="16"/>
                            </w:rPr>
                            <w:t xml:space="preserve">es plans locaux de développement  </w:t>
                          </w:r>
                        </w:p>
                      </w:txbxContent>
                    </wps:txbx>
                    <wps:bodyPr horzOverflow="overflow" rtlCol="0" vert="horz" lIns="0" tIns="0" rIns="0" bIns="0">
                      <a:noAutofit/>
                    </wps:bodyPr>
                  </wps:wsp>
                  <wps:wsp>
                    <wps:cNvPr id="24325" name="Rectangle 24325"/>
                    <wps:cNvSpPr/>
                    <wps:spPr>
                      <a:xfrm>
                        <a:off x="5100193" y="2680416"/>
                        <a:ext cx="653487" cy="150334"/>
                      </a:xfrm>
                      <a:prstGeom prst="rect">
                        <a:avLst/>
                      </a:prstGeom>
                      <a:ln>
                        <a:noFill/>
                      </a:ln>
                    </wps:spPr>
                    <wps:txbx>
                      <w:txbxContent>
                        <w:p>
                          <w:pPr>
                            <w:spacing w:before="0" w:after="160" w:line="259" w:lineRule="auto"/>
                            <w:ind w:left="0" w:firstLine="0"/>
                            <w:jc w:val="left"/>
                          </w:pPr>
                          <w:r>
                            <w:rPr>
                              <w:sz w:val="16"/>
                            </w:rPr>
                            <w:t xml:space="preserve">sont rendus </w:t>
                          </w:r>
                        </w:p>
                      </w:txbxContent>
                    </wps:txbx>
                    <wps:bodyPr horzOverflow="overflow" rtlCol="0" vert="horz" lIns="0" tIns="0" rIns="0" bIns="0">
                      <a:noAutofit/>
                    </wps:bodyPr>
                  </wps:wsp>
                  <wps:wsp>
                    <wps:cNvPr id="24326" name="Rectangle 24326"/>
                    <wps:cNvSpPr/>
                    <wps:spPr>
                      <a:xfrm>
                        <a:off x="5592445" y="2680416"/>
                        <a:ext cx="1488272" cy="150334"/>
                      </a:xfrm>
                      <a:prstGeom prst="rect">
                        <a:avLst/>
                      </a:prstGeom>
                      <a:ln>
                        <a:noFill/>
                      </a:ln>
                    </wps:spPr>
                    <wps:txbx>
                      <w:txbxContent>
                        <w:p>
                          <w:pPr>
                            <w:spacing w:before="0" w:after="160" w:line="259" w:lineRule="auto"/>
                            <w:ind w:left="0" w:firstLine="0"/>
                            <w:jc w:val="left"/>
                          </w:pPr>
                          <w:r>
                            <w:rPr>
                              <w:sz w:val="16"/>
                            </w:rPr>
                            <w:t xml:space="preserve">résilients aux changements </w:t>
                          </w:r>
                        </w:p>
                      </w:txbxContent>
                    </wps:txbx>
                    <wps:bodyPr horzOverflow="overflow" rtlCol="0" vert="horz" lIns="0" tIns="0" rIns="0" bIns="0">
                      <a:noAutofit/>
                    </wps:bodyPr>
                  </wps:wsp>
                  <wps:wsp>
                    <wps:cNvPr id="24327" name="Rectangle 24327"/>
                    <wps:cNvSpPr/>
                    <wps:spPr>
                      <a:xfrm>
                        <a:off x="5155057" y="2797764"/>
                        <a:ext cx="789562" cy="150334"/>
                      </a:xfrm>
                      <a:prstGeom prst="rect">
                        <a:avLst/>
                      </a:prstGeom>
                      <a:ln>
                        <a:noFill/>
                      </a:ln>
                    </wps:spPr>
                    <wps:txbx>
                      <w:txbxContent>
                        <w:p>
                          <w:pPr>
                            <w:spacing w:before="0" w:after="160" w:line="259" w:lineRule="auto"/>
                            <w:ind w:left="0" w:firstLine="0"/>
                            <w:jc w:val="left"/>
                          </w:pPr>
                          <w:r>
                            <w:rPr>
                              <w:sz w:val="16"/>
                            </w:rPr>
                            <w:t xml:space="preserve">climatiques et </w:t>
                          </w:r>
                        </w:p>
                      </w:txbxContent>
                    </wps:txbx>
                    <wps:bodyPr horzOverflow="overflow" rtlCol="0" vert="horz" lIns="0" tIns="0" rIns="0" bIns="0">
                      <a:noAutofit/>
                    </wps:bodyPr>
                  </wps:wsp>
                  <wps:wsp>
                    <wps:cNvPr id="24328" name="Rectangle 24328"/>
                    <wps:cNvSpPr/>
                    <wps:spPr>
                      <a:xfrm>
                        <a:off x="5749418" y="2797764"/>
                        <a:ext cx="258706" cy="150334"/>
                      </a:xfrm>
                      <a:prstGeom prst="rect">
                        <a:avLst/>
                      </a:prstGeom>
                      <a:ln>
                        <a:noFill/>
                      </a:ln>
                    </wps:spPr>
                    <wps:txbx>
                      <w:txbxContent>
                        <w:p>
                          <w:pPr>
                            <w:spacing w:before="0" w:after="160" w:line="259" w:lineRule="auto"/>
                            <w:ind w:left="0" w:firstLine="0"/>
                            <w:jc w:val="left"/>
                          </w:pPr>
                          <w:r>
                            <w:rPr>
                              <w:sz w:val="16"/>
                            </w:rPr>
                            <w:t xml:space="preserve">sont </w:t>
                          </w:r>
                        </w:p>
                      </w:txbxContent>
                    </wps:txbx>
                    <wps:bodyPr horzOverflow="overflow" rtlCol="0" vert="horz" lIns="0" tIns="0" rIns="0" bIns="0">
                      <a:noAutofit/>
                    </wps:bodyPr>
                  </wps:wsp>
                  <wps:wsp>
                    <wps:cNvPr id="24329" name="Rectangle 24329"/>
                    <wps:cNvSpPr/>
                    <wps:spPr>
                      <a:xfrm>
                        <a:off x="5944489" y="2797764"/>
                        <a:ext cx="313412" cy="150334"/>
                      </a:xfrm>
                      <a:prstGeom prst="rect">
                        <a:avLst/>
                      </a:prstGeom>
                      <a:ln>
                        <a:noFill/>
                      </a:ln>
                    </wps:spPr>
                    <wps:txbx>
                      <w:txbxContent>
                        <w:p>
                          <w:pPr>
                            <w:spacing w:before="0" w:after="160" w:line="259" w:lineRule="auto"/>
                            <w:ind w:left="0" w:firstLine="0"/>
                            <w:jc w:val="left"/>
                          </w:pPr>
                          <w:r>
                            <w:rPr>
                              <w:sz w:val="16"/>
                            </w:rPr>
                            <w:t xml:space="preserve">orient</w:t>
                          </w:r>
                        </w:p>
                      </w:txbxContent>
                    </wps:txbx>
                    <wps:bodyPr horzOverflow="overflow" rtlCol="0" vert="horz" lIns="0" tIns="0" rIns="0" bIns="0">
                      <a:noAutofit/>
                    </wps:bodyPr>
                  </wps:wsp>
                  <wps:wsp>
                    <wps:cNvPr id="24330" name="Rectangle 24330"/>
                    <wps:cNvSpPr/>
                    <wps:spPr>
                      <a:xfrm>
                        <a:off x="6180709" y="2797764"/>
                        <a:ext cx="633524" cy="150334"/>
                      </a:xfrm>
                      <a:prstGeom prst="rect">
                        <a:avLst/>
                      </a:prstGeom>
                      <a:ln>
                        <a:noFill/>
                      </a:ln>
                    </wps:spPr>
                    <wps:txbx>
                      <w:txbxContent>
                        <w:p>
                          <w:pPr>
                            <w:spacing w:before="0" w:after="160" w:line="259" w:lineRule="auto"/>
                            <w:ind w:left="0" w:firstLine="0"/>
                            <w:jc w:val="left"/>
                          </w:pPr>
                          <w:r>
                            <w:rPr>
                              <w:sz w:val="16"/>
                            </w:rPr>
                            <w:t xml:space="preserve">és vers une </w:t>
                          </w:r>
                        </w:p>
                      </w:txbxContent>
                    </wps:txbx>
                    <wps:bodyPr horzOverflow="overflow" rtlCol="0" vert="horz" lIns="0" tIns="0" rIns="0" bIns="0">
                      <a:noAutofit/>
                    </wps:bodyPr>
                  </wps:wsp>
                  <wps:wsp>
                    <wps:cNvPr id="24331" name="Rectangle 24331"/>
                    <wps:cNvSpPr/>
                    <wps:spPr>
                      <a:xfrm>
                        <a:off x="5127625" y="2915366"/>
                        <a:ext cx="2067339" cy="150334"/>
                      </a:xfrm>
                      <a:prstGeom prst="rect">
                        <a:avLst/>
                      </a:prstGeom>
                      <a:ln>
                        <a:noFill/>
                      </a:ln>
                    </wps:spPr>
                    <wps:txbx>
                      <w:txbxContent>
                        <w:p>
                          <w:pPr>
                            <w:spacing w:before="0" w:after="160" w:line="259" w:lineRule="auto"/>
                            <w:ind w:left="0" w:firstLine="0"/>
                            <w:jc w:val="left"/>
                          </w:pPr>
                          <w:r>
                            <w:rPr>
                              <w:sz w:val="16"/>
                            </w:rPr>
                            <w:t xml:space="preserve">faible émission de gaz à effet de serre </w:t>
                          </w:r>
                        </w:p>
                      </w:txbxContent>
                    </wps:txbx>
                    <wps:bodyPr horzOverflow="overflow" rtlCol="0" vert="horz" lIns="0" tIns="0" rIns="0" bIns="0">
                      <a:noAutofit/>
                    </wps:bodyPr>
                  </wps:wsp>
                  <wps:wsp>
                    <wps:cNvPr id="139464" name="Rectangle 139464"/>
                    <wps:cNvSpPr/>
                    <wps:spPr>
                      <a:xfrm>
                        <a:off x="5987362" y="3035762"/>
                        <a:ext cx="45224" cy="150334"/>
                      </a:xfrm>
                      <a:prstGeom prst="rect">
                        <a:avLst/>
                      </a:prstGeom>
                      <a:ln>
                        <a:noFill/>
                      </a:ln>
                    </wps:spPr>
                    <wps:txbx>
                      <w:txbxContent>
                        <w:p>
                          <w:pPr>
                            <w:spacing w:before="0" w:after="160" w:line="259" w:lineRule="auto"/>
                            <w:ind w:left="0" w:firstLine="0"/>
                            <w:jc w:val="left"/>
                          </w:pPr>
                          <w:r>
                            <w:rPr>
                              <w:sz w:val="16"/>
                            </w:rPr>
                            <w:t xml:space="preserve">)</w:t>
                          </w:r>
                        </w:p>
                      </w:txbxContent>
                    </wps:txbx>
                    <wps:bodyPr horzOverflow="overflow" rtlCol="0" vert="horz" lIns="0" tIns="0" rIns="0" bIns="0">
                      <a:noAutofit/>
                    </wps:bodyPr>
                  </wps:wsp>
                  <wps:wsp>
                    <wps:cNvPr id="139463" name="Rectangle 139463"/>
                    <wps:cNvSpPr/>
                    <wps:spPr>
                      <a:xfrm>
                        <a:off x="5763133" y="3035762"/>
                        <a:ext cx="45223" cy="150334"/>
                      </a:xfrm>
                      <a:prstGeom prst="rect">
                        <a:avLst/>
                      </a:prstGeom>
                      <a:ln>
                        <a:noFill/>
                      </a:ln>
                    </wps:spPr>
                    <wps:txbx>
                      <w:txbxContent>
                        <w:p>
                          <w:pPr>
                            <w:spacing w:before="0" w:after="160" w:line="259" w:lineRule="auto"/>
                            <w:ind w:left="0" w:firstLine="0"/>
                            <w:jc w:val="left"/>
                          </w:pPr>
                          <w:r>
                            <w:rPr>
                              <w:sz w:val="16"/>
                            </w:rPr>
                            <w:t xml:space="preserve">(</w:t>
                          </w:r>
                        </w:p>
                      </w:txbxContent>
                    </wps:txbx>
                    <wps:bodyPr horzOverflow="overflow" rtlCol="0" vert="horz" lIns="0" tIns="0" rIns="0" bIns="0">
                      <a:noAutofit/>
                    </wps:bodyPr>
                  </wps:wsp>
                  <wps:wsp>
                    <wps:cNvPr id="139465" name="Rectangle 139465"/>
                    <wps:cNvSpPr/>
                    <wps:spPr>
                      <a:xfrm>
                        <a:off x="5796625" y="3035762"/>
                        <a:ext cx="253701" cy="150334"/>
                      </a:xfrm>
                      <a:prstGeom prst="rect">
                        <a:avLst/>
                      </a:prstGeom>
                      <a:ln>
                        <a:noFill/>
                      </a:ln>
                    </wps:spPr>
                    <wps:txbx>
                      <w:txbxContent>
                        <w:p>
                          <w:pPr>
                            <w:spacing w:before="0" w:after="160" w:line="259" w:lineRule="auto"/>
                            <w:ind w:left="0" w:firstLine="0"/>
                            <w:jc w:val="left"/>
                          </w:pPr>
                          <w:r>
                            <w:rPr>
                              <w:sz w:val="16"/>
                            </w:rPr>
                            <w:t xml:space="preserve">GES</w:t>
                          </w:r>
                        </w:p>
                      </w:txbxContent>
                    </wps:txbx>
                    <wps:bodyPr horzOverflow="overflow" rtlCol="0" vert="horz" lIns="0" tIns="0" rIns="0" bIns="0">
                      <a:noAutofit/>
                    </wps:bodyPr>
                  </wps:wsp>
                  <wps:wsp>
                    <wps:cNvPr id="24333" name="Rectangle 24333"/>
                    <wps:cNvSpPr/>
                    <wps:spPr>
                      <a:xfrm>
                        <a:off x="6022213" y="3035762"/>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24334" name="Shape 24334"/>
                    <wps:cNvSpPr/>
                    <wps:spPr>
                      <a:xfrm>
                        <a:off x="2528570" y="2084705"/>
                        <a:ext cx="635" cy="188595"/>
                      </a:xfrm>
                      <a:custGeom>
                        <a:pathLst>
                          <a:path w="635" h="188595">
                            <a:moveTo>
                              <a:pt x="0" y="0"/>
                            </a:moveTo>
                            <a:lnTo>
                              <a:pt x="635" y="188595"/>
                            </a:lnTo>
                          </a:path>
                        </a:pathLst>
                      </a:custGeom>
                      <a:ln w="9525" cap="rnd">
                        <a:round/>
                      </a:ln>
                    </wps:spPr>
                    <wps:style>
                      <a:lnRef idx="1">
                        <a:srgbClr val="000000"/>
                      </a:lnRef>
                      <a:fillRef idx="0">
                        <a:srgbClr val="000000">
                          <a:alpha val="0"/>
                        </a:srgbClr>
                      </a:fillRef>
                      <a:effectRef idx="0"/>
                      <a:fontRef idx="none"/>
                    </wps:style>
                    <wps:bodyPr/>
                  </wps:wsp>
                  <wps:wsp>
                    <wps:cNvPr id="24335" name="Shape 24335"/>
                    <wps:cNvSpPr/>
                    <wps:spPr>
                      <a:xfrm>
                        <a:off x="6822440" y="1997710"/>
                        <a:ext cx="635" cy="219075"/>
                      </a:xfrm>
                      <a:custGeom>
                        <a:pathLst>
                          <a:path w="635" h="219075">
                            <a:moveTo>
                              <a:pt x="0" y="0"/>
                            </a:moveTo>
                            <a:lnTo>
                              <a:pt x="635" y="219075"/>
                            </a:lnTo>
                          </a:path>
                        </a:pathLst>
                      </a:custGeom>
                      <a:ln w="9525" cap="rnd">
                        <a:round/>
                      </a:ln>
                    </wps:spPr>
                    <wps:style>
                      <a:lnRef idx="1">
                        <a:srgbClr val="000000"/>
                      </a:lnRef>
                      <a:fillRef idx="0">
                        <a:srgbClr val="000000">
                          <a:alpha val="0"/>
                        </a:srgbClr>
                      </a:fillRef>
                      <a:effectRef idx="0"/>
                      <a:fontRef idx="none"/>
                    </wps:style>
                    <wps:bodyPr/>
                  </wps:wsp>
                  <wps:wsp>
                    <wps:cNvPr id="24336" name="Shape 24336"/>
                    <wps:cNvSpPr/>
                    <wps:spPr>
                      <a:xfrm>
                        <a:off x="7919720" y="2217420"/>
                        <a:ext cx="636" cy="176530"/>
                      </a:xfrm>
                      <a:custGeom>
                        <a:pathLst>
                          <a:path w="636" h="176530">
                            <a:moveTo>
                              <a:pt x="0" y="0"/>
                            </a:moveTo>
                            <a:lnTo>
                              <a:pt x="636" y="176530"/>
                            </a:lnTo>
                          </a:path>
                        </a:pathLst>
                      </a:custGeom>
                      <a:ln w="9525" cap="rnd">
                        <a:round/>
                      </a:ln>
                    </wps:spPr>
                    <wps:style>
                      <a:lnRef idx="1">
                        <a:srgbClr val="000000"/>
                      </a:lnRef>
                      <a:fillRef idx="0">
                        <a:srgbClr val="000000">
                          <a:alpha val="0"/>
                        </a:srgbClr>
                      </a:fillRef>
                      <a:effectRef idx="0"/>
                      <a:fontRef idx="none"/>
                    </wps:style>
                    <wps:bodyPr/>
                  </wps:wsp>
                  <wps:wsp>
                    <wps:cNvPr id="187320" name="Shape 187320"/>
                    <wps:cNvSpPr/>
                    <wps:spPr>
                      <a:xfrm>
                        <a:off x="2789555" y="2419350"/>
                        <a:ext cx="1908810" cy="1007110"/>
                      </a:xfrm>
                      <a:custGeom>
                        <a:pathLst>
                          <a:path w="1908810" h="1007110">
                            <a:moveTo>
                              <a:pt x="0" y="0"/>
                            </a:moveTo>
                            <a:lnTo>
                              <a:pt x="1908810" y="0"/>
                            </a:lnTo>
                            <a:lnTo>
                              <a:pt x="1908810" y="1007110"/>
                            </a:lnTo>
                            <a:lnTo>
                              <a:pt x="0" y="1007110"/>
                            </a:lnTo>
                            <a:lnTo>
                              <a:pt x="0" y="0"/>
                            </a:lnTo>
                          </a:path>
                        </a:pathLst>
                      </a:custGeom>
                      <a:ln w="0" cap="rnd">
                        <a:round/>
                      </a:ln>
                    </wps:spPr>
                    <wps:style>
                      <a:lnRef idx="0">
                        <a:srgbClr val="000000">
                          <a:alpha val="0"/>
                        </a:srgbClr>
                      </a:lnRef>
                      <a:fillRef idx="1">
                        <a:srgbClr val="205867"/>
                      </a:fillRef>
                      <a:effectRef idx="0"/>
                      <a:fontRef idx="none"/>
                    </wps:style>
                    <wps:bodyPr/>
                  </wps:wsp>
                  <pic:pic xmlns:pic="http://schemas.openxmlformats.org/drawingml/2006/picture">
                    <pic:nvPicPr>
                      <pic:cNvPr id="179127" name="Picture 179127"/>
                      <pic:cNvPicPr/>
                    </pic:nvPicPr>
                    <pic:blipFill>
                      <a:blip r:embed="rId65"/>
                      <a:stretch>
                        <a:fillRect/>
                      </a:stretch>
                    </pic:blipFill>
                    <pic:spPr>
                      <a:xfrm>
                        <a:off x="2773680" y="2388235"/>
                        <a:ext cx="1914144" cy="1011936"/>
                      </a:xfrm>
                      <a:prstGeom prst="rect">
                        <a:avLst/>
                      </a:prstGeom>
                    </pic:spPr>
                  </pic:pic>
                  <wps:wsp>
                    <wps:cNvPr id="24339" name="Shape 24339"/>
                    <wps:cNvSpPr/>
                    <wps:spPr>
                      <a:xfrm>
                        <a:off x="2776855" y="2393950"/>
                        <a:ext cx="1908810" cy="1007110"/>
                      </a:xfrm>
                      <a:custGeom>
                        <a:pathLst>
                          <a:path w="1908810" h="1007110">
                            <a:moveTo>
                              <a:pt x="0" y="1007110"/>
                            </a:moveTo>
                            <a:lnTo>
                              <a:pt x="1908810" y="1007110"/>
                            </a:lnTo>
                            <a:lnTo>
                              <a:pt x="1908810"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24340" name="Rectangle 24340"/>
                    <wps:cNvSpPr/>
                    <wps:spPr>
                      <a:xfrm>
                        <a:off x="3368675" y="2448768"/>
                        <a:ext cx="96638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2. projet</w:t>
                          </w:r>
                        </w:p>
                      </w:txbxContent>
                    </wps:txbx>
                    <wps:bodyPr horzOverflow="overflow" rtlCol="0" vert="horz" lIns="0" tIns="0" rIns="0" bIns="0">
                      <a:noAutofit/>
                    </wps:bodyPr>
                  </wps:wsp>
                  <wps:wsp>
                    <wps:cNvPr id="24341" name="Rectangle 24341"/>
                    <wps:cNvSpPr/>
                    <wps:spPr>
                      <a:xfrm>
                        <a:off x="4094099"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24342" name="Rectangle 24342"/>
                    <wps:cNvSpPr/>
                    <wps:spPr>
                      <a:xfrm>
                        <a:off x="2951099" y="2584772"/>
                        <a:ext cx="2108351" cy="123537"/>
                      </a:xfrm>
                      <a:prstGeom prst="rect">
                        <a:avLst/>
                      </a:prstGeom>
                      <a:ln>
                        <a:noFill/>
                      </a:ln>
                    </wps:spPr>
                    <wps:txbx>
                      <w:txbxContent>
                        <w:p>
                          <w:pPr>
                            <w:spacing w:before="0" w:after="160" w:line="259" w:lineRule="auto"/>
                            <w:ind w:left="0" w:firstLine="0"/>
                            <w:jc w:val="left"/>
                          </w:pPr>
                          <w:r>
                            <w:rPr>
                              <w:sz w:val="16"/>
                            </w:rPr>
                            <w:t xml:space="preserve">Les informations pertinentes sur l‟état de </w:t>
                          </w:r>
                        </w:p>
                      </w:txbxContent>
                    </wps:txbx>
                    <wps:bodyPr horzOverflow="overflow" rtlCol="0" vert="horz" lIns="0" tIns="0" rIns="0" bIns="0">
                      <a:noAutofit/>
                    </wps:bodyPr>
                  </wps:wsp>
                  <wps:wsp>
                    <wps:cNvPr id="24343" name="Rectangle 24343"/>
                    <wps:cNvSpPr/>
                    <wps:spPr>
                      <a:xfrm>
                        <a:off x="3050159" y="2700597"/>
                        <a:ext cx="1846794" cy="123537"/>
                      </a:xfrm>
                      <a:prstGeom prst="rect">
                        <a:avLst/>
                      </a:prstGeom>
                      <a:ln>
                        <a:noFill/>
                      </a:ln>
                    </wps:spPr>
                    <wps:txbx>
                      <w:txbxContent>
                        <w:p>
                          <w:pPr>
                            <w:spacing w:before="0" w:after="160" w:line="259" w:lineRule="auto"/>
                            <w:ind w:left="0" w:firstLine="0"/>
                            <w:jc w:val="left"/>
                          </w:pPr>
                          <w:r>
                            <w:rPr>
                              <w:sz w:val="16"/>
                            </w:rPr>
                            <w:t xml:space="preserve">l‟environnement sont disponibles et </w:t>
                          </w:r>
                        </w:p>
                      </w:txbxContent>
                    </wps:txbx>
                    <wps:bodyPr horzOverflow="overflow" rtlCol="0" vert="horz" lIns="0" tIns="0" rIns="0" bIns="0">
                      <a:noAutofit/>
                    </wps:bodyPr>
                  </wps:wsp>
                  <wps:wsp>
                    <wps:cNvPr id="24344" name="Rectangle 24344"/>
                    <wps:cNvSpPr/>
                    <wps:spPr>
                      <a:xfrm>
                        <a:off x="2929763" y="2817944"/>
                        <a:ext cx="2167154" cy="123537"/>
                      </a:xfrm>
                      <a:prstGeom prst="rect">
                        <a:avLst/>
                      </a:prstGeom>
                      <a:ln>
                        <a:noFill/>
                      </a:ln>
                    </wps:spPr>
                    <wps:txbx>
                      <w:txbxContent>
                        <w:p>
                          <w:pPr>
                            <w:spacing w:before="0" w:after="160" w:line="259" w:lineRule="auto"/>
                            <w:ind w:left="0" w:firstLine="0"/>
                            <w:jc w:val="left"/>
                          </w:pPr>
                          <w:r>
                            <w:rPr>
                              <w:sz w:val="16"/>
                            </w:rPr>
                            <w:t xml:space="preserve">permettent d‟assurer le suivi de la mise en </w:t>
                          </w:r>
                        </w:p>
                      </w:txbxContent>
                    </wps:txbx>
                    <wps:bodyPr horzOverflow="overflow" rtlCol="0" vert="horz" lIns="0" tIns="0" rIns="0" bIns="0">
                      <a:noAutofit/>
                    </wps:bodyPr>
                  </wps:wsp>
                  <wps:wsp>
                    <wps:cNvPr id="24345" name="Rectangle 24345"/>
                    <wps:cNvSpPr/>
                    <wps:spPr>
                      <a:xfrm>
                        <a:off x="2900807" y="2935547"/>
                        <a:ext cx="2048191" cy="123537"/>
                      </a:xfrm>
                      <a:prstGeom prst="rect">
                        <a:avLst/>
                      </a:prstGeom>
                      <a:ln>
                        <a:noFill/>
                      </a:ln>
                    </wps:spPr>
                    <wps:txbx>
                      <w:txbxContent>
                        <w:p>
                          <w:pPr>
                            <w:spacing w:before="0" w:after="160" w:line="259" w:lineRule="auto"/>
                            <w:ind w:left="0" w:firstLine="0"/>
                            <w:jc w:val="left"/>
                          </w:pPr>
                          <w:r>
                            <w:rPr>
                              <w:sz w:val="16"/>
                            </w:rPr>
                            <w:t xml:space="preserve">œuvre des politiques environnementales</w:t>
                          </w:r>
                        </w:p>
                      </w:txbxContent>
                    </wps:txbx>
                    <wps:bodyPr horzOverflow="overflow" rtlCol="0" vert="horz" lIns="0" tIns="0" rIns="0" bIns="0">
                      <a:noAutofit/>
                    </wps:bodyPr>
                  </wps:wsp>
                  <wps:wsp>
                    <wps:cNvPr id="24346" name="Rectangle 24346"/>
                    <wps:cNvSpPr/>
                    <wps:spPr>
                      <a:xfrm>
                        <a:off x="4438523" y="2915366"/>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24347" name="Rectangle 24347"/>
                    <wps:cNvSpPr/>
                    <wps:spPr>
                      <a:xfrm>
                        <a:off x="4464431" y="2915366"/>
                        <a:ext cx="161606" cy="150334"/>
                      </a:xfrm>
                      <a:prstGeom prst="rect">
                        <a:avLst/>
                      </a:prstGeom>
                      <a:ln>
                        <a:noFill/>
                      </a:ln>
                    </wps:spPr>
                    <wps:txbx>
                      <w:txbxContent>
                        <w:p>
                          <w:pPr>
                            <w:spacing w:before="0" w:after="160" w:line="259" w:lineRule="auto"/>
                            <w:ind w:left="0" w:firstLine="0"/>
                            <w:jc w:val="left"/>
                          </w:pPr>
                          <w:r>
                            <w:rPr>
                              <w:sz w:val="16"/>
                            </w:rPr>
                            <w:t xml:space="preserve">au </w:t>
                          </w:r>
                        </w:p>
                      </w:txbxContent>
                    </wps:txbx>
                    <wps:bodyPr horzOverflow="overflow" rtlCol="0" vert="horz" lIns="0" tIns="0" rIns="0" bIns="0">
                      <a:noAutofit/>
                    </wps:bodyPr>
                  </wps:wsp>
                  <wps:wsp>
                    <wps:cNvPr id="24348" name="Rectangle 24348"/>
                    <wps:cNvSpPr/>
                    <wps:spPr>
                      <a:xfrm>
                        <a:off x="3339719" y="3034238"/>
                        <a:ext cx="293180" cy="150334"/>
                      </a:xfrm>
                      <a:prstGeom prst="rect">
                        <a:avLst/>
                      </a:prstGeom>
                      <a:ln>
                        <a:noFill/>
                      </a:ln>
                    </wps:spPr>
                    <wps:txbx>
                      <w:txbxContent>
                        <w:p>
                          <w:pPr>
                            <w:spacing w:before="0" w:after="160" w:line="259" w:lineRule="auto"/>
                            <w:ind w:left="0" w:firstLine="0"/>
                            <w:jc w:val="left"/>
                          </w:pPr>
                          <w:r>
                            <w:rPr>
                              <w:sz w:val="16"/>
                            </w:rPr>
                            <w:t xml:space="preserve">nivea</w:t>
                          </w:r>
                        </w:p>
                      </w:txbxContent>
                    </wps:txbx>
                    <wps:bodyPr horzOverflow="overflow" rtlCol="0" vert="horz" lIns="0" tIns="0" rIns="0" bIns="0">
                      <a:noAutofit/>
                    </wps:bodyPr>
                  </wps:wsp>
                  <wps:wsp>
                    <wps:cNvPr id="24349" name="Rectangle 24349"/>
                    <wps:cNvSpPr/>
                    <wps:spPr>
                      <a:xfrm>
                        <a:off x="3560699" y="3034238"/>
                        <a:ext cx="747035" cy="150334"/>
                      </a:xfrm>
                      <a:prstGeom prst="rect">
                        <a:avLst/>
                      </a:prstGeom>
                      <a:ln>
                        <a:noFill/>
                      </a:ln>
                    </wps:spPr>
                    <wps:txbx>
                      <w:txbxContent>
                        <w:p>
                          <w:pPr>
                            <w:spacing w:before="0" w:after="160" w:line="259" w:lineRule="auto"/>
                            <w:ind w:left="0" w:firstLine="0"/>
                            <w:jc w:val="left"/>
                          </w:pPr>
                          <w:r>
                            <w:rPr>
                              <w:sz w:val="16"/>
                            </w:rPr>
                            <w:t xml:space="preserve">u décentralisé</w:t>
                          </w:r>
                        </w:p>
                      </w:txbxContent>
                    </wps:txbx>
                    <wps:bodyPr horzOverflow="overflow" rtlCol="0" vert="horz" lIns="0" tIns="0" rIns="0" bIns="0">
                      <a:noAutofit/>
                    </wps:bodyPr>
                  </wps:wsp>
                  <wps:wsp>
                    <wps:cNvPr id="24350" name="Rectangle 24350"/>
                    <wps:cNvSpPr/>
                    <wps:spPr>
                      <a:xfrm>
                        <a:off x="4121531" y="3034238"/>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24351" name="Shape 24351"/>
                    <wps:cNvSpPr/>
                    <wps:spPr>
                      <a:xfrm>
                        <a:off x="3601085" y="2273300"/>
                        <a:ext cx="635" cy="120650"/>
                      </a:xfrm>
                      <a:custGeom>
                        <a:pathLst>
                          <a:path w="635" h="120650">
                            <a:moveTo>
                              <a:pt x="0" y="0"/>
                            </a:moveTo>
                            <a:lnTo>
                              <a:pt x="635" y="120650"/>
                            </a:lnTo>
                          </a:path>
                        </a:pathLst>
                      </a:custGeom>
                      <a:ln w="9525" cap="rnd">
                        <a:round/>
                      </a:ln>
                    </wps:spPr>
                    <wps:style>
                      <a:lnRef idx="1">
                        <a:srgbClr val="000000"/>
                      </a:lnRef>
                      <a:fillRef idx="0">
                        <a:srgbClr val="000000">
                          <a:alpha val="0"/>
                        </a:srgbClr>
                      </a:fillRef>
                      <a:effectRef idx="0"/>
                      <a:fontRef idx="none"/>
                    </wps:style>
                    <wps:bodyPr/>
                  </wps:wsp>
                  <wps:wsp>
                    <wps:cNvPr id="24352" name="Shape 24352"/>
                    <wps:cNvSpPr/>
                    <wps:spPr>
                      <a:xfrm>
                        <a:off x="1622425" y="2273300"/>
                        <a:ext cx="1979295" cy="635"/>
                      </a:xfrm>
                      <a:custGeom>
                        <a:pathLst>
                          <a:path w="1979295" h="635">
                            <a:moveTo>
                              <a:pt x="0" y="0"/>
                            </a:moveTo>
                            <a:lnTo>
                              <a:pt x="1979295" y="635"/>
                            </a:lnTo>
                          </a:path>
                        </a:pathLst>
                      </a:custGeom>
                      <a:ln w="9525" cap="rnd">
                        <a:round/>
                      </a:ln>
                    </wps:spPr>
                    <wps:style>
                      <a:lnRef idx="1">
                        <a:srgbClr val="000000"/>
                      </a:lnRef>
                      <a:fillRef idx="0">
                        <a:srgbClr val="000000">
                          <a:alpha val="0"/>
                        </a:srgbClr>
                      </a:fillRef>
                      <a:effectRef idx="0"/>
                      <a:fontRef idx="none"/>
                    </wps:style>
                    <wps:bodyPr/>
                  </wps:wsp>
                  <wps:wsp>
                    <wps:cNvPr id="24353" name="Shape 24353"/>
                    <wps:cNvSpPr/>
                    <wps:spPr>
                      <a:xfrm>
                        <a:off x="1622425" y="2273300"/>
                        <a:ext cx="0" cy="120650"/>
                      </a:xfrm>
                      <a:custGeom>
                        <a:pathLst>
                          <a:path w="0" h="120650">
                            <a:moveTo>
                              <a:pt x="0" y="0"/>
                            </a:moveTo>
                            <a:lnTo>
                              <a:pt x="0" y="120650"/>
                            </a:lnTo>
                          </a:path>
                        </a:pathLst>
                      </a:custGeom>
                      <a:ln w="9525" cap="rnd">
                        <a:round/>
                      </a:ln>
                    </wps:spPr>
                    <wps:style>
                      <a:lnRef idx="1">
                        <a:srgbClr val="000000"/>
                      </a:lnRef>
                      <a:fillRef idx="0">
                        <a:srgbClr val="000000">
                          <a:alpha val="0"/>
                        </a:srgbClr>
                      </a:fillRef>
                      <a:effectRef idx="0"/>
                      <a:fontRef idx="none"/>
                    </wps:style>
                    <wps:bodyPr/>
                  </wps:wsp>
                  <wps:wsp>
                    <wps:cNvPr id="24354" name="Shape 24354"/>
                    <wps:cNvSpPr/>
                    <wps:spPr>
                      <a:xfrm>
                        <a:off x="5940425" y="2217420"/>
                        <a:ext cx="635" cy="176530"/>
                      </a:xfrm>
                      <a:custGeom>
                        <a:pathLst>
                          <a:path w="635" h="176530">
                            <a:moveTo>
                              <a:pt x="0" y="0"/>
                            </a:moveTo>
                            <a:lnTo>
                              <a:pt x="635" y="176530"/>
                            </a:lnTo>
                          </a:path>
                        </a:pathLst>
                      </a:custGeom>
                      <a:ln w="9525" cap="rnd">
                        <a:round/>
                      </a:ln>
                    </wps:spPr>
                    <wps:style>
                      <a:lnRef idx="1">
                        <a:srgbClr val="000000"/>
                      </a:lnRef>
                      <a:fillRef idx="0">
                        <a:srgbClr val="000000">
                          <a:alpha val="0"/>
                        </a:srgbClr>
                      </a:fillRef>
                      <a:effectRef idx="0"/>
                      <a:fontRef idx="none"/>
                    </wps:style>
                    <wps:bodyPr/>
                  </wps:wsp>
                </wpg:wgp>
              </a:graphicData>
            </a:graphic>
          </wp:inline>
        </w:drawing>
      </w:r>
    </w:p>
    <w:p>
      <w:pPr>
        <w:spacing w:before="0" w:after="0" w:line="259" w:lineRule="auto"/>
        <w:ind w:left="0" w:firstLine="0"/>
        <w:jc w:val="left"/>
      </w:pPr>
      <w:r>
        <w:rPr>
          <w:sz w:val="24"/>
        </w:rPr>
        <w:t xml:space="preserve"> 	 	 </w:t>
      </w:r>
    </w:p>
    <w:p>
      <w:pPr>
        <w:spacing w:before="0" w:after="2723" w:line="259" w:lineRule="auto"/>
        <w:ind w:left="0" w:firstLine="0"/>
        <w:jc w:val="left"/>
      </w:pPr>
      <w:r>
        <w:rPr>
          <w:sz w:val="24"/>
        </w:rPr>
        <w:t xml:space="preserve"> </w:t>
      </w:r>
    </w:p>
    <w:p>
      <w:pPr>
        <w:spacing w:before="0" w:after="3" w:line="259" w:lineRule="auto"/>
        <w:ind w:left="331" w:right="320"/>
        <w:jc w:val="center"/>
      </w:pPr>
      <w:r>
        <w:rPr>
          <w:sz w:val="20"/>
        </w:rPr>
        <w:t xml:space="preserve">Page </w:t>
      </w:r>
      <w:r>
        <w:rPr>
          <w:rFonts w:cs="Times New Roman" w:hAnsi="Times New Roman" w:eastAsia="Times New Roman" w:ascii="Times New Roman"/>
          <w:b w:val="1"/>
          <w:sz w:val="20"/>
        </w:rPr>
        <w:t xml:space="preserve">17</w:t>
      </w:r>
      <w:r>
        <w:rPr>
          <w:sz w:val="20"/>
        </w:rPr>
        <w:t xml:space="preserve"> </w:t>
      </w:r>
      <w:r>
        <w:rPr>
          <w:sz w:val="20"/>
        </w:rPr>
        <w:t xml:space="preserve">sur </w:t>
      </w:r>
      <w:r>
        <w:rPr>
          <w:sz w:val="20"/>
        </w:rPr>
        <w:t xml:space="preserve">60</w:t>
      </w:r>
      <w:r>
        <w:rPr>
          <w:sz w:val="24"/>
        </w:rPr>
        <w:t xml:space="preserve"> </w:t>
      </w:r>
    </w:p>
    <w:p>
      <w:pPr>
        <w:spacing w:before="0" w:after="0" w:line="259" w:lineRule="auto"/>
        <w:ind w:left="0" w:firstLine="0"/>
        <w:jc w:val="left"/>
      </w:pPr>
      <w:r>
        <w:rPr>
          <w:sz w:val="24"/>
        </w:rPr>
        <w:t xml:space="preserve"> </w:t>
      </w:r>
    </w:p>
    <w:p>
      <w:pPr>
        <w:sectPr>
          <w:headerReference w:type="even" r:id="rId11"/>
          <w:headerReference w:type="default" r:id="rId9"/>
          <w:headerReference w:type="first" r:id="rId7"/>
          <w:footerReference w:type="even" r:id="rId12"/>
          <w:footerReference w:type="default" r:id="rId10"/>
          <w:footerReference w:type="first" r:id="rId8"/>
          <w:pgSz w:w="16838" w:h="11906" w:orient="landscape"/>
          <w:pgMar w:left="1440" w:top="1440" w:right="1440" w:bottom="1440"/>
          <w:cols/>
        </w:sectPr>
      </w:pPr>
    </w:p>
    <w:p>
      <w:pPr>
        <w:spacing w:before="0" w:after="0" w:line="259" w:lineRule="auto"/>
        <w:ind w:left="0" w:firstLine="0"/>
      </w:pPr>
      <w:r>
        <w:rPr/>
        <w:t xml:space="preserve"> </w:t>
      </w:r>
      <w:r>
        <w:rPr>
          <w:sz w:val="37"/>
          <w:vertAlign w:val="subscript"/>
        </w:rPr>
        <w:t xml:space="preserve"> 	</w:t>
      </w:r>
      <w:r>
        <w:rPr>
          <w:sz w:val="40"/>
        </w:rPr>
        <w:t xml:space="preserve"> </w:t>
      </w:r>
    </w:p>
    <w:p>
      <w:pPr>
        <w:spacing w:before="0" w:after="254" w:line="259" w:lineRule="auto"/>
        <w:ind w:left="0" w:firstLine="0"/>
        <w:jc w:val="left"/>
      </w:pPr>
      <w:r>
        <w:rPr>
          <w:sz w:val="2"/>
        </w:rPr>
        <w:t xml:space="preserve"> </w:t>
      </w:r>
    </w:p>
    <w:p>
      <w:pPr>
        <w:pStyle w:val="heading3"/>
        <w:spacing w:before="0" w:after="10" w:line="249" w:lineRule="auto"/>
        <w:ind w:left="-5"/>
      </w:pPr>
      <w:r>
        <w:rPr/>
        <w:t xml:space="preserve">2.3. Zone d’intervention</w:t>
      </w:r>
      <w:r>
        <w:rPr/>
        <w:t xml:space="preserve"> </w:t>
      </w:r>
    </w:p>
    <w:p>
      <w:pPr>
        <w:pStyle w:val="normal"/>
        <w:spacing w:before="0" w:after="5" w:line="247" w:lineRule="auto"/>
        <w:ind w:left="10" w:right="598"/>
      </w:pPr>
      <w:r>
        <w:rPr/>
        <w:t xml:space="preserve">Le projet interviendra d</w:t>
      </w:r>
      <w:r>
        <w:rPr/>
        <w:t xml:space="preserve"> </w:t>
      </w:r>
      <w:r>
        <w:rPr/>
        <w:t xml:space="preserve">ans les régions du centre</w:t>
      </w:r>
      <w:r>
        <w:rPr/>
        <w:t xml:space="preserve">-</w:t>
      </w:r>
      <w:r>
        <w:rPr/>
        <w:t xml:space="preserve">nord et de l‟est. </w:t>
      </w:r>
      <w:r>
        <w:rPr/>
        <w:t xml:space="preserve"> </w:t>
      </w:r>
    </w:p>
    <w:p>
      <w:pPr>
        <w:pStyle w:val="normal"/>
        <w:spacing w:before="0" w:after="28" w:line="247" w:lineRule="auto"/>
        <w:ind w:left="10" w:right="598"/>
      </w:pPr>
      <w:r>
        <w:rPr/>
        <w:t xml:space="preserve">Le choix de la région du centre nord est déterminé par les considérations suivantes</w:t>
      </w:r>
      <w:r>
        <w:rPr/>
        <w:t xml:space="preserve"> </w:t>
      </w:r>
      <w:r>
        <w:rPr/>
        <w:t xml:space="preserve">:</w:t>
      </w:r>
      <w:r>
        <w:rPr/>
        <w:t xml:space="preserve"> </w:t>
      </w:r>
    </w:p>
    <w:p>
      <w:pPr>
        <w:pStyle w:val="normal"/>
        <w:numPr>
          <w:ilvl w:val="0"/>
          <w:numId w:val="14"/>
        </w:numPr>
        <w:spacing w:before="0" w:after="39" w:line="247" w:lineRule="auto"/>
        <w:ind w:left="720" w:right="598" w:hanging="360"/>
      </w:pPr>
      <w:r>
        <w:rPr/>
        <w:t xml:space="preserve">le souci de consolider les acquis des projets PANA</w:t>
      </w:r>
      <w:r>
        <w:rPr/>
        <w:t xml:space="preserve"> </w:t>
      </w:r>
      <w:r>
        <w:rPr/>
        <w:t xml:space="preserve">qui intervient dans le Namentenga</w:t>
      </w:r>
      <w:r>
        <w:rPr/>
        <w:t xml:space="preserve"> </w:t>
      </w:r>
    </w:p>
    <w:p>
      <w:pPr>
        <w:pStyle w:val="normal"/>
        <w:numPr>
          <w:ilvl w:val="0"/>
          <w:numId w:val="14"/>
        </w:numPr>
        <w:spacing w:before="0" w:after="5" w:line="247" w:lineRule="auto"/>
        <w:ind w:left="720" w:right="598" w:hanging="360"/>
      </w:pPr>
      <w:r>
        <w:rPr/>
        <w:t xml:space="preserve">les possibilités de développer des synergies avec les projets de l‟Union Européenne dans les deux régions</w:t>
      </w:r>
      <w:r>
        <w:rPr/>
        <w:t xml:space="preserve"> </w:t>
      </w:r>
    </w:p>
    <w:p>
      <w:pPr>
        <w:pStyle w:val="normal"/>
        <w:numPr>
          <w:ilvl w:val="0"/>
          <w:numId w:val="14"/>
        </w:numPr>
        <w:spacing w:before="0" w:after="55" w:line="247" w:lineRule="auto"/>
        <w:ind w:left="720" w:right="598" w:hanging="360"/>
      </w:pPr>
      <w:r>
        <w:rPr/>
        <w:t xml:space="preserve">l‟état de</w:t>
      </w:r>
      <w:r>
        <w:rPr/>
        <w:t xml:space="preserve"> </w:t>
      </w:r>
      <w:r>
        <w:rPr/>
        <w:t xml:space="preserve">vulnérabilité des populations de ces deux régions </w:t>
      </w:r>
      <w:r>
        <w:rPr/>
        <w:t xml:space="preserve">  </w:t>
      </w:r>
    </w:p>
    <w:p>
      <w:pPr>
        <w:pStyle w:val="normal"/>
        <w:numPr>
          <w:ilvl w:val="0"/>
          <w:numId w:val="14"/>
        </w:numPr>
        <w:spacing w:before="0" w:after="5" w:line="247" w:lineRule="auto"/>
        <w:ind w:left="720" w:right="598" w:hanging="360"/>
      </w:pPr>
      <w:r>
        <w:rPr/>
        <w:t xml:space="preserve">les possibilités de synergie avec la Coopération Suisse et le Projet PAPE dans la région de l‟est</w:t>
      </w:r>
      <w:r>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pStyle w:val="heading3"/>
        <w:spacing w:before="0" w:after="10" w:line="249" w:lineRule="auto"/>
        <w:ind w:left="-5"/>
      </w:pPr>
      <w:r>
        <w:rPr/>
        <w:t xml:space="preserve">2.4.</w:t>
      </w:r>
      <w:r>
        <w:rPr/>
        <w:t xml:space="preserve"> </w:t>
      </w:r>
      <w:r>
        <w:rPr/>
        <w:t xml:space="preserve">Description des actions</w:t>
      </w:r>
      <w:r>
        <w:rPr/>
        <w:t xml:space="preserve"> </w:t>
      </w:r>
    </w:p>
    <w:p>
      <w:pPr>
        <w:spacing w:before="0" w:after="0" w:line="259" w:lineRule="auto"/>
        <w:ind w:left="0" w:firstLine="0"/>
        <w:jc w:val="left"/>
      </w:pPr>
      <w:r>
        <w:rPr>
          <w:sz w:val="24"/>
        </w:rPr>
        <w:t xml:space="preserve"> </w:t>
      </w:r>
    </w:p>
    <w:p>
      <w:pPr>
        <w:pBdr>
          <w:top w:val="single" w:color="000000" w:sz="4"/>
          <w:left w:val="single" w:color="000000" w:sz="4"/>
          <w:bottom w:val="single" w:color="000000" w:sz="4"/>
          <w:right w:val="single" w:color="000000" w:sz="4"/>
        </w:pBdr>
        <w:spacing w:before="0" w:after="191" w:line="319" w:lineRule="auto"/>
        <w:ind w:left="1066" w:right="533"/>
        <w:jc w:val="left"/>
      </w:pPr>
      <w:r>
        <w:rPr>
          <w:rFonts w:cs="Times New Roman" w:hAnsi="Times New Roman" w:eastAsia="Times New Roman" w:ascii="Times New Roman"/>
          <w:b w:val="1"/>
        </w:rPr>
        <w:t xml:space="preserve">Produit 1: Les structures centrales sont outillées pour assurer la prise en compte des principes du DD dans la mise en œuvre de la SCADD et des plans locaux de développement</w:t>
      </w:r>
      <w:r>
        <w:rPr>
          <w:rFonts w:cs="Times New Roman" w:hAnsi="Times New Roman" w:eastAsia="Times New Roman" w:ascii="Times New Roman"/>
          <w:b w:val="1"/>
        </w:rPr>
        <w:t xml:space="preserve"> </w:t>
      </w:r>
    </w:p>
    <w:p>
      <w:pPr>
        <w:spacing w:before="0" w:after="0" w:line="259" w:lineRule="auto"/>
        <w:ind w:left="0" w:firstLine="0"/>
        <w:jc w:val="left"/>
      </w:pPr>
      <w:r>
        <w:rPr>
          <w:sz w:val="24"/>
        </w:rPr>
        <w:t xml:space="preserve">                           </w:t>
      </w:r>
      <w:r>
        <w:rPr>
          <w:color w:val="ff0000"/>
          <w:sz w:val="24"/>
        </w:rPr>
        <w:t xml:space="preserve"> </w:t>
      </w:r>
    </w:p>
    <w:p>
      <w:pPr>
        <w:pStyle w:val="normal"/>
        <w:numPr>
          <w:ilvl w:val="0"/>
          <w:numId w:val="15"/>
        </w:numPr>
        <w:spacing w:before="0" w:after="39" w:line="247" w:lineRule="auto"/>
        <w:ind w:left="1056" w:right="598" w:hanging="360"/>
      </w:pPr>
      <w:r>
        <w:rPr>
          <w:rFonts w:cs="Times New Roman" w:hAnsi="Times New Roman" w:eastAsia="Times New Roman" w:ascii="Times New Roman"/>
          <w:b w:val="1"/>
        </w:rPr>
        <w:t xml:space="preserve">Renforcement des capacités de suivi de la SCADD</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par  les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structures du MEDD</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t xml:space="preserve">Pour assurer</w:t>
      </w:r>
      <w:r>
        <w:rPr>
          <w:rFonts w:cs="Times New Roman" w:hAnsi="Times New Roman" w:eastAsia="Times New Roman" w:ascii="Times New Roman"/>
          <w:b w:val="1"/>
        </w:rPr>
        <w:t xml:space="preserve"> </w:t>
      </w:r>
      <w:r>
        <w:rPr/>
        <w:t xml:space="preserve">la prise en compte des principes de durabilité dans la mise en œuvre de la SCADD et du PNSR, la Direction des Etudes et de la Planification</w:t>
      </w:r>
      <w:r>
        <w:rPr/>
        <w:t xml:space="preserve"> </w:t>
      </w:r>
      <w:r>
        <w:rPr/>
        <w:t xml:space="preserve">(DEP)</w:t>
      </w:r>
      <w:r>
        <w:rPr/>
        <w:t xml:space="preserve"> </w:t>
      </w:r>
      <w:r>
        <w:rPr/>
        <w:t xml:space="preserve">du MEDD</w:t>
      </w:r>
      <w:r>
        <w:rPr/>
        <w:t xml:space="preserve"> </w:t>
      </w:r>
      <w:r>
        <w:rPr/>
        <w:t xml:space="preserve">et le SP/CONEDD</w:t>
      </w:r>
      <w:r>
        <w:rPr/>
        <w:t xml:space="preserve"> </w:t>
      </w:r>
      <w:r>
        <w:rPr/>
        <w:t xml:space="preserve">ont besoin d‟améliorer leurs capacités à faciliter la collecte de l‟information et l‟évaluation des indicateurs de durabilité au sein des</w:t>
      </w:r>
      <w:r>
        <w:rPr/>
        <w:t xml:space="preserve"> </w:t>
      </w:r>
      <w:r>
        <w:rPr/>
        <w:t xml:space="preserve">dispositifs de suivi et évaluation de la SCADD</w:t>
      </w:r>
      <w:r>
        <w:rPr/>
        <w:t xml:space="preserve"> </w:t>
      </w:r>
      <w:r>
        <w:rPr/>
        <w:t xml:space="preserve">et du</w:t>
      </w:r>
      <w:r>
        <w:rPr/>
        <w:t xml:space="preserve"> </w:t>
      </w:r>
      <w:r>
        <w:rPr/>
        <w:t xml:space="preserve">PNSR</w:t>
      </w:r>
      <w:r>
        <w:rPr/>
        <w:t xml:space="preserve">. </w:t>
      </w:r>
      <w:r>
        <w:rPr/>
        <w:t xml:space="preserve">Il s‟agira d‟accompagner ces structures dans la définition des outils pertinents</w:t>
      </w:r>
      <w:r>
        <w:rPr/>
        <w:t xml:space="preserve"> </w:t>
      </w:r>
      <w:r>
        <w:rPr/>
        <w:t xml:space="preserve">leur permettant de renforcer leur légitimité et leur efficacité au sein des organes de pilotage de la SCADD et du PNSR. Un diagnostic des capacités de ces structures permettra d‟élaborer et mettre en œuvre un plan de renforcement des capacités pour faire face aux défis de la gestion de la durabilité de la croissance accélérée.</w:t>
      </w:r>
      <w:r>
        <w:rPr/>
        <w:t xml:space="preserve"> </w:t>
      </w:r>
      <w:r>
        <w:rPr/>
        <w:t xml:space="preserve">Ces structures bénéficieront d‟appui pour la définition et l‟actualisation des matrices d‟indicateurs de durabilité.</w:t>
      </w:r>
      <w:r>
        <w:rPr/>
        <w:t xml:space="preserve"> </w:t>
      </w:r>
    </w:p>
    <w:p>
      <w:pPr>
        <w:spacing w:before="0" w:after="34" w:line="259" w:lineRule="auto"/>
        <w:ind w:left="1071" w:firstLine="0"/>
        <w:jc w:val="left"/>
      </w:pPr>
      <w:r>
        <w:rPr/>
        <w:t xml:space="preserve"> </w:t>
      </w:r>
    </w:p>
    <w:p>
      <w:pPr>
        <w:pStyle w:val="normal"/>
        <w:numPr>
          <w:ilvl w:val="0"/>
          <w:numId w:val="15"/>
        </w:numPr>
        <w:spacing w:before="0" w:after="29" w:line="247" w:lineRule="auto"/>
        <w:ind w:left="1056" w:right="598" w:hanging="360"/>
      </w:pPr>
      <w:r>
        <w:rPr>
          <w:rFonts w:cs="Times New Roman" w:hAnsi="Times New Roman" w:eastAsia="Times New Roman" w:ascii="Times New Roman"/>
          <w:b w:val="1"/>
        </w:rPr>
        <w:t xml:space="preserve">Appui à la finalisation et au pilotage du PNSR</w:t>
      </w:r>
      <w:r>
        <w:rPr>
          <w:rFonts w:cs="Times New Roman" w:hAnsi="Times New Roman" w:eastAsia="Times New Roman" w:ascii="Times New Roman"/>
          <w:b w:val="1"/>
        </w:rPr>
        <w:t xml:space="preserve">. </w:t>
      </w:r>
      <w:r>
        <w:rPr/>
        <w:t xml:space="preserve">En tant qu‟outil de la mise en œuvre de la SCADD</w:t>
      </w:r>
      <w:r>
        <w:rPr/>
        <w:t xml:space="preserve"> </w:t>
      </w:r>
      <w:r>
        <w:rPr/>
        <w:t xml:space="preserve">dans le secteur rural, le PNSR est un des piliers de la croissance envisagée. Le projet appuiera le renforcement des capacités du</w:t>
      </w:r>
      <w:r>
        <w:rPr/>
        <w:t xml:space="preserve"> </w:t>
      </w:r>
      <w:r>
        <w:rPr/>
        <w:t xml:space="preserve">SP/CPSA à prendre en compte la durabilité dans la coordination et l‟exécution du PNSR.</w:t>
      </w:r>
      <w:r>
        <w:rPr/>
        <w:t xml:space="preserve"> </w:t>
      </w:r>
      <w:r>
        <w:rPr/>
        <w:t xml:space="preserve">Cet appui peut inclure la contribution au</w:t>
      </w:r>
      <w:r>
        <w:rPr/>
        <w:t xml:space="preserve"> </w:t>
      </w:r>
      <w:r>
        <w:rPr/>
        <w:t xml:space="preserve">panier commun</w:t>
      </w:r>
      <w:r>
        <w:rPr/>
        <w:t xml:space="preserve"> </w:t>
      </w:r>
      <w:r>
        <w:rPr/>
        <w:t xml:space="preserve">pour la mise en œuvre du PNSR</w:t>
      </w:r>
      <w:r>
        <w:rPr/>
        <w:t xml:space="preserve"> </w:t>
      </w:r>
      <w:r>
        <w:rPr/>
        <w:t xml:space="preserve">comme outil de</w:t>
      </w:r>
      <w:r>
        <w:rPr/>
        <w:t xml:space="preserve"> </w:t>
      </w:r>
      <w:r>
        <w:rPr/>
        <w:t xml:space="preserve">catalysation des investissements environnementaux dans les plans locaux de développement</w:t>
      </w:r>
      <w:r>
        <w:rPr/>
        <w:t xml:space="preserve">.</w:t>
      </w:r>
      <w:r>
        <w:rPr/>
        <w:t xml:space="preserve"> </w:t>
      </w:r>
    </w:p>
    <w:p>
      <w:pPr>
        <w:spacing w:before="0" w:after="17" w:line="259" w:lineRule="auto"/>
        <w:ind w:left="1071" w:firstLine="0"/>
        <w:jc w:val="left"/>
      </w:pPr>
      <w:r>
        <w:rPr>
          <w:rFonts w:cs="Times New Roman" w:hAnsi="Times New Roman" w:eastAsia="Times New Roman" w:ascii="Times New Roman"/>
          <w:b w:val="1"/>
        </w:rPr>
        <w:t xml:space="preserve"> </w:t>
      </w:r>
    </w:p>
    <w:p>
      <w:pPr>
        <w:pStyle w:val="heading4"/>
        <w:spacing w:before="0" w:after="60" w:line="248" w:lineRule="auto"/>
        <w:ind w:left="1056" w:hanging="360"/>
      </w:pPr>
      <w:r>
        <w:rPr>
          <w:u w:val="none" w:color="000000"/>
        </w:rPr>
        <w:t xml:space="preserve">3.</w:t>
      </w:r>
      <w:r>
        <w:rPr>
          <w:rFonts w:cs="Arial" w:hAnsi="Arial" w:eastAsia="Arial" w:ascii="Arial"/>
          <w:u w:val="none" w:color="000000"/>
        </w:rPr>
        <w:t xml:space="preserve"> </w:t>
      </w:r>
      <w:r>
        <w:rPr>
          <w:rFonts w:cs="Times New Roman" w:hAnsi="Times New Roman" w:eastAsia="Times New Roman" w:ascii="Times New Roman"/>
          <w:b w:val="1"/>
          <w:u w:val="none" w:color="000000"/>
        </w:rPr>
        <w:t xml:space="preserve">Appui au processus de transfert de compétence de gestion des ressources</w:t>
      </w:r>
      <w:r>
        <w:rPr>
          <w:rFonts w:cs="Times New Roman" w:hAnsi="Times New Roman" w:eastAsia="Times New Roman" w:ascii="Times New Roman"/>
          <w:b w:val="1"/>
          <w:u w:val="none" w:color="000000"/>
        </w:rPr>
        <w:t xml:space="preserve"> </w:t>
      </w:r>
      <w:r>
        <w:rPr>
          <w:rFonts w:cs="Times New Roman" w:hAnsi="Times New Roman" w:eastAsia="Times New Roman" w:ascii="Times New Roman"/>
          <w:b w:val="1"/>
          <w:u w:val="none" w:color="000000"/>
        </w:rPr>
        <w:t xml:space="preserve">naturelles aux collectivités territoriales</w:t>
      </w:r>
      <w:r>
        <w:rPr>
          <w:rFonts w:cs="Times New Roman" w:hAnsi="Times New Roman" w:eastAsia="Times New Roman" w:ascii="Times New Roman"/>
          <w:b w:val="1"/>
          <w:u w:val="none" w:color="000000"/>
        </w:rPr>
        <w:t xml:space="preserve"> </w:t>
      </w:r>
    </w:p>
    <w:p>
      <w:pPr>
        <w:pStyle w:val="normal"/>
        <w:spacing w:before="0" w:after="29" w:line="247" w:lineRule="auto"/>
        <w:ind w:left="1081" w:right="598"/>
      </w:pPr>
      <w:r>
        <w:rPr/>
        <w:t xml:space="preserve">Le</w:t>
      </w:r>
      <w:r>
        <w:rPr/>
        <w:t xml:space="preserve"> </w:t>
      </w:r>
      <w:r>
        <w:rPr/>
        <w:t xml:space="preserve">projet appuiera l‟organisation des réflexions nécessaires à la définition des outils juridiques consacrant le</w:t>
      </w:r>
      <w:r>
        <w:rPr/>
        <w:t xml:space="preserve"> </w:t>
      </w:r>
      <w:r>
        <w:rPr/>
        <w:t xml:space="preserve">transfert effectif</w:t>
      </w:r>
      <w:r>
        <w:rPr/>
        <w:t xml:space="preserve"> </w:t>
      </w:r>
      <w:r>
        <w:rPr/>
        <w:t xml:space="preserve">des</w:t>
      </w:r>
      <w:r>
        <w:rPr/>
        <w:t xml:space="preserve"> </w:t>
      </w:r>
      <w:r>
        <w:rPr/>
        <w:t xml:space="preserve">compétences de gestion de l‟environnement aux collectivités territoriales. Il s‟agira surtout d‟aider à identifier les dispositions qui garantissent un équilibre efficace entre les prérogatives légales des collectivités territoriales et les responsabilités des communautés dans la gestion des ressources naturelles. Les résultats des activités de capitalisation des expériences de gestion décentralisée des ressources naturelles alimenteront les réflexions pour l‟élaboration des textes réglementaires pour le transfert des compétences de gestion de l‟environnement.  L‟appui sera également fourni à la mise en œuvre des réformes sur la fiscalité relative aux ressources naturelles. </w:t>
      </w:r>
      <w:r>
        <w:rPr/>
        <w:t xml:space="preserve">  </w:t>
      </w:r>
    </w:p>
    <w:p>
      <w:pPr>
        <w:spacing w:before="0" w:after="19" w:line="259" w:lineRule="auto"/>
        <w:ind w:left="1071" w:firstLine="0"/>
        <w:jc w:val="left"/>
      </w:pPr>
      <w:r>
        <w:rPr/>
        <w:t xml:space="preserve"> </w:t>
      </w:r>
    </w:p>
    <w:p>
      <w:pPr>
        <w:pStyle w:val="normal"/>
        <w:spacing w:before="0" w:after="33" w:line="247" w:lineRule="auto"/>
        <w:ind w:left="1081" w:right="598"/>
      </w:pPr>
      <w:r>
        <w:rPr>
          <w:rFonts w:cs="Times New Roman" w:hAnsi="Times New Roman" w:eastAsia="Times New Roman" w:ascii="Times New Roman"/>
          <w:b w:val="1"/>
        </w:rPr>
        <w:t xml:space="preserve">Appui à la préparation de la participation du Burkina Faso à la Conférence des Nations Unies sur le Développement Durable (RIO+20)</w:t>
      </w:r>
      <w:r>
        <w:rPr/>
        <w:t xml:space="preserve">. </w:t>
      </w:r>
      <w:r>
        <w:rPr/>
        <w:t xml:space="preserve">Avec l‟élargissement récent des missions du ministère chargé de l‟environnement aux questions</w:t>
      </w:r>
      <w:r>
        <w:rPr/>
        <w:t xml:space="preserve"> </w:t>
      </w:r>
      <w:r>
        <w:rPr/>
        <w:t xml:space="preserve">du développement durable, les responsables </w:t>
      </w:r>
      <w:r>
        <w:rPr/>
        <w:t xml:space="preserve">du</w:t>
      </w:r>
      <w:r>
        <w:rPr/>
        <w:t xml:space="preserve"> </w:t>
      </w:r>
      <w:r>
        <w:rPr/>
        <w:t xml:space="preserve">département</w:t>
      </w:r>
      <w:r>
        <w:rPr/>
        <w:t xml:space="preserve"> </w:t>
      </w:r>
      <w:r>
        <w:rPr/>
        <w:t xml:space="preserve">éprouvent</w:t>
      </w:r>
      <w:r>
        <w:rPr/>
        <w:t xml:space="preserve"> </w:t>
      </w:r>
      <w:r>
        <w:rPr/>
        <w:t xml:space="preserve">le besoin d‟assurer une compréhension nationale des enjeux du développement durable</w:t>
      </w:r>
      <w:r>
        <w:rPr/>
        <w:t xml:space="preserve"> </w:t>
      </w:r>
      <w:r>
        <w:rPr/>
        <w:t xml:space="preserve">et de renforcer le cadre institutionnel pour </w:t>
      </w:r>
      <w:r>
        <w:rPr/>
        <w:t xml:space="preserve"> </w:t>
      </w:r>
      <w:r>
        <w:rPr/>
        <w:t xml:space="preserve">mieux faire face  aux</w:t>
      </w:r>
      <w:r>
        <w:rPr/>
        <w:t xml:space="preserve"> </w:t>
      </w:r>
      <w:r>
        <w:rPr/>
        <w:t xml:space="preserve">nouveaux défis. Ces préoccupations seront prises en charge dans le cadre de la</w:t>
      </w:r>
      <w:r>
        <w:rPr/>
        <w:t xml:space="preserve"> </w:t>
      </w:r>
      <w:r>
        <w:rPr/>
        <w:t xml:space="preserve">préparation de la contribution du Burkina Faso à la Conférence des Nations Unies sur le Développement Durable </w:t>
      </w:r>
      <w:r>
        <w:rPr/>
        <w:t xml:space="preserve">(</w:t>
      </w:r>
      <w:r>
        <w:rPr/>
        <w:t xml:space="preserve">Rio+20</w:t>
      </w:r>
      <w:r>
        <w:rPr/>
        <w:t xml:space="preserve">)</w:t>
      </w:r>
      <w:r>
        <w:rPr/>
        <w:t xml:space="preserve">. </w:t>
      </w:r>
      <w:r>
        <w:rPr/>
        <w:t xml:space="preserve">Le projet appuiera la préparation du rapport national sur le développement durable et l‟organisation d‟un atelier national de validation.</w:t>
      </w:r>
      <w:r>
        <w:rPr/>
        <w:t xml:space="preserve"> </w:t>
      </w:r>
      <w:r>
        <w:rPr/>
        <w:t xml:space="preserve">Les activités de sensibilisation et de plaidoyer sur les résultats de la Conférence seront également soutenues</w:t>
      </w:r>
      <w:r>
        <w:rPr/>
        <w:t xml:space="preserve"> </w:t>
      </w:r>
      <w:r>
        <w:rPr/>
        <w:t xml:space="preserve">pour consolider le cadre institutionnel du développement durable et booster les efforts nationaux en faveur de l‟économie verte. </w:t>
      </w:r>
      <w:r>
        <w:rPr/>
        <w:t xml:space="preserve"> </w:t>
      </w:r>
    </w:p>
    <w:p>
      <w:pPr>
        <w:spacing w:before="0" w:after="14" w:line="259" w:lineRule="auto"/>
        <w:ind w:left="1702" w:firstLine="0"/>
        <w:jc w:val="left"/>
      </w:pPr>
      <w:r>
        <w:rPr/>
        <w:t xml:space="preserve"> </w:t>
      </w:r>
    </w:p>
    <w:p>
      <w:pPr>
        <w:spacing w:before="0" w:after="24" w:line="259" w:lineRule="auto"/>
        <w:ind w:left="720" w:firstLine="0"/>
        <w:jc w:val="left"/>
      </w:pPr>
      <w:r>
        <w:rPr/>
        <w:t xml:space="preserve"> </w:t>
      </w:r>
    </w:p>
    <w:p>
      <w:pPr>
        <w:pStyle w:val="normal"/>
        <w:numPr>
          <w:ilvl w:val="0"/>
          <w:numId w:val="16"/>
        </w:numPr>
        <w:spacing w:before="0" w:after="36" w:line="247" w:lineRule="auto"/>
        <w:ind w:left="1056" w:right="598" w:hanging="360"/>
      </w:pPr>
      <w:r>
        <w:rPr>
          <w:rFonts w:cs="Times New Roman" w:hAnsi="Times New Roman" w:eastAsia="Times New Roman" w:ascii="Times New Roman"/>
          <w:b w:val="1"/>
        </w:rPr>
        <w:t xml:space="preserve">Appui à la concertation autour des interventions dans le domaine de l’environnement</w:t>
      </w:r>
      <w:r>
        <w:rPr/>
        <w:t xml:space="preserve">. </w:t>
      </w:r>
      <w:r>
        <w:rPr/>
        <w:t xml:space="preserve">Face aux défis des changements climatiques de nombreuses initiatives (PIF</w:t>
      </w:r>
      <w:r>
        <w:rPr/>
        <w:t xml:space="preserve">, </w:t>
      </w:r>
      <w:r>
        <w:rPr/>
        <w:t xml:space="preserve">PANA, RED</w:t>
      </w:r>
      <w:r>
        <w:rPr/>
        <w:t xml:space="preserve">) </w:t>
      </w:r>
      <w:r>
        <w:rPr/>
        <w:t xml:space="preserve">voient le jour dans le domaine de l‟environnement. Il s‟avère de plus en plus impérieux de créer les espaces de dialogue entre les partenaires techniques et financiers (PTF)</w:t>
      </w:r>
      <w:r>
        <w:rPr/>
        <w:t xml:space="preserve"> </w:t>
      </w:r>
      <w:r>
        <w:rPr/>
        <w:t xml:space="preserve">mais aussi entre le gouvernement et les PTF pour garantir l‟efficacité des appuis fournis. Le Projet</w:t>
      </w:r>
      <w:r>
        <w:rPr/>
        <w:t xml:space="preserve"> </w:t>
      </w:r>
      <w:r>
        <w:rPr/>
        <w:t xml:space="preserve">favorisera</w:t>
      </w:r>
      <w:r>
        <w:rPr/>
        <w:t xml:space="preserve"> </w:t>
      </w:r>
      <w:r>
        <w:rPr/>
        <w:t xml:space="preserve">la mise en cohérence des initiatives</w:t>
      </w:r>
      <w:r>
        <w:rPr/>
        <w:t xml:space="preserve"> </w:t>
      </w:r>
      <w:r>
        <w:rPr/>
        <w:t xml:space="preserve">d‟appui en identifiant</w:t>
      </w:r>
      <w:r>
        <w:rPr/>
        <w:t xml:space="preserve"> </w:t>
      </w:r>
      <w:r>
        <w:rPr/>
        <w:t xml:space="preserve">les préoccupations transversales à soumettre aux</w:t>
      </w:r>
      <w:r>
        <w:rPr/>
        <w:t xml:space="preserve"> </w:t>
      </w:r>
      <w:r>
        <w:rPr/>
        <w:t xml:space="preserve">cadres</w:t>
      </w:r>
      <w:r>
        <w:rPr/>
        <w:t xml:space="preserve"> </w:t>
      </w:r>
      <w:r>
        <w:rPr/>
        <w:t xml:space="preserve">de concertation</w:t>
      </w:r>
      <w:r>
        <w:rPr/>
        <w:t xml:space="preserve"> </w:t>
      </w:r>
      <w:r>
        <w:rPr/>
        <w:t xml:space="preserve">au niveau national</w:t>
      </w:r>
      <w:r>
        <w:rPr/>
        <w:t xml:space="preserve">, </w:t>
      </w:r>
      <w:r>
        <w:rPr/>
        <w:t xml:space="preserve">en tenant</w:t>
      </w:r>
      <w:r>
        <w:rPr/>
        <w:t xml:space="preserve"> </w:t>
      </w:r>
      <w:r>
        <w:rPr/>
        <w:t xml:space="preserve">en à jour une fiche synoptique des différentes initiatives susceptibles d‟influencer la gouvernance environnementale locale et initiant</w:t>
      </w:r>
      <w:r>
        <w:rPr/>
        <w:t xml:space="preserve"> </w:t>
      </w:r>
      <w:r>
        <w:rPr/>
        <w:t xml:space="preserve">des rencontres de concertation autour de sujets qui le requièrent</w:t>
      </w:r>
      <w:r>
        <w:rPr/>
        <w:t xml:space="preserve">.</w:t>
      </w:r>
      <w:r>
        <w:rPr/>
        <w:t xml:space="preserve"> </w:t>
      </w:r>
      <w:r>
        <w:rPr/>
        <w:t xml:space="preserve">Pour consolider l‟approche du Burkina dans l‟identification et la mise en œuvre de mesures appropriées d‟atténuation, le projet fournira l‟appui</w:t>
      </w:r>
      <w:r>
        <w:rPr/>
        <w:t xml:space="preserve">-</w:t>
      </w:r>
      <w:r>
        <w:rPr/>
        <w:t xml:space="preserve">conseil aux structures nationales concernées.  Cet effort de concertation et d‟appui à la coordination devra être assuré tant au niveau national qu‟au niveau des collectivités territoriales.</w:t>
      </w:r>
      <w:r>
        <w:rPr/>
        <w:t xml:space="preserve"> </w:t>
      </w:r>
    </w:p>
    <w:p>
      <w:pPr>
        <w:spacing w:before="0" w:after="19" w:line="259" w:lineRule="auto"/>
        <w:ind w:left="1071" w:firstLine="0"/>
        <w:jc w:val="left"/>
      </w:pPr>
      <w:r>
        <w:rPr/>
        <w:t xml:space="preserve"> </w:t>
      </w:r>
    </w:p>
    <w:p>
      <w:pPr>
        <w:spacing w:before="0" w:after="49" w:line="259" w:lineRule="auto"/>
        <w:ind w:left="1071" w:firstLine="0"/>
        <w:jc w:val="left"/>
      </w:pPr>
      <w:r>
        <w:rPr>
          <w:rFonts w:cs="Times New Roman" w:hAnsi="Times New Roman" w:eastAsia="Times New Roman" w:ascii="Times New Roman"/>
          <w:b w:val="1"/>
        </w:rPr>
        <w:t xml:space="preserve"> </w:t>
      </w:r>
    </w:p>
    <w:p>
      <w:pPr>
        <w:pBdr>
          <w:top w:val="single" w:color="000000" w:sz="4"/>
          <w:left w:val="single" w:color="000000" w:sz="4"/>
          <w:bottom w:val="single" w:color="000000" w:sz="4"/>
          <w:right w:val="single" w:color="000000" w:sz="4"/>
        </w:pBdr>
        <w:spacing w:before="0" w:after="4" w:line="293" w:lineRule="auto"/>
        <w:ind w:left="1071" w:right="604" w:firstLine="0"/>
      </w:pPr>
      <w:r>
        <w:rPr>
          <w:rFonts w:cs="Times New Roman" w:hAnsi="Times New Roman" w:eastAsia="Times New Roman" w:ascii="Times New Roman"/>
          <w:b w:val="1"/>
        </w:rPr>
        <w:t xml:space="preserve">Produit 2</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 les informations pertinentes sur l’état de l’environnement sont disponibles et permettent d’assurer le suivi de la mise en œuvre des politiques environnementales au niveau décentralisé</w:t>
      </w:r>
      <w:r>
        <w:rPr>
          <w:rFonts w:cs="Times New Roman" w:hAnsi="Times New Roman" w:eastAsia="Times New Roman" w:ascii="Times New Roman"/>
          <w:b w:val="1"/>
        </w:rPr>
        <w:t xml:space="preserve"> </w:t>
      </w:r>
    </w:p>
    <w:p>
      <w:pPr>
        <w:spacing w:before="0" w:after="14" w:line="259" w:lineRule="auto"/>
        <w:ind w:left="720" w:firstLine="0"/>
        <w:jc w:val="left"/>
      </w:pPr>
      <w:r>
        <w:rPr/>
        <w:t xml:space="preserve"> </w:t>
      </w:r>
    </w:p>
    <w:p>
      <w:pPr>
        <w:pStyle w:val="normal"/>
        <w:numPr>
          <w:ilvl w:val="0"/>
          <w:numId w:val="16"/>
        </w:numPr>
        <w:spacing w:before="0" w:after="5" w:line="247" w:lineRule="auto"/>
        <w:ind w:left="1056" w:right="598" w:hanging="360"/>
      </w:pPr>
      <w:r>
        <w:rPr>
          <w:rFonts w:cs="Times New Roman" w:hAnsi="Times New Roman" w:eastAsia="Times New Roman" w:ascii="Times New Roman"/>
          <w:b w:val="1"/>
        </w:rPr>
        <w:t xml:space="preserve">Appui à la mise en place et au</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fonctionnement de l’Observatoire National et des bases de données environnementales</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t xml:space="preserve">La qualité et la pertinence de l‟information environnementale déterminent la qualité des décisions dans l‟élaboration des politiques, plans et stratégies de développement et l‟objectivité de l‟évaluation des progrès des différentes interventions. C‟est pourquoi le projet consolidera les initiatives en cours pour assurer l‟édition régulière d‟informations sur l‟évolution</w:t>
      </w:r>
      <w:r>
        <w:rPr/>
        <w:t xml:space="preserve"> </w:t>
      </w:r>
      <w:r>
        <w:rPr/>
        <w:t xml:space="preserve">de l‟environnement</w:t>
      </w:r>
      <w:r>
        <w:rPr/>
        <w:t xml:space="preserve"> </w:t>
      </w:r>
      <w:r>
        <w:rPr/>
        <w:t xml:space="preserve">qui répondent aux besoins des processus de planification et de suivi du développement local.</w:t>
      </w:r>
      <w:r>
        <w:rPr/>
        <w:t xml:space="preserve"> </w:t>
      </w:r>
      <w:r>
        <w:rPr/>
        <w:t xml:space="preserve">Il s‟agira surtout de consolider les bases de données environnementales relatives aux communes. Les activités consisteront en l‟appui à l‟élaboration périodique du Rapport sur l‟Etat de l‟Environnement et l‟élaboration des notes de communication sur la diversité biologique et les changements climatiques</w:t>
      </w:r>
      <w:r>
        <w:rPr/>
        <w:t xml:space="preserve">.</w:t>
      </w:r>
      <w:r>
        <w:rPr/>
        <w:t xml:space="preserve"> </w:t>
      </w:r>
    </w:p>
    <w:p>
      <w:pPr>
        <w:spacing w:before="0" w:after="0" w:line="259" w:lineRule="auto"/>
        <w:ind w:left="1071" w:firstLine="0"/>
        <w:jc w:val="left"/>
      </w:pPr>
      <w:r>
        <w:rPr/>
        <w:t xml:space="preserve"> </w:t>
      </w:r>
    </w:p>
    <w:p>
      <w:pPr>
        <w:pStyle w:val="normal"/>
        <w:numPr>
          <w:ilvl w:val="0"/>
          <w:numId w:val="16"/>
        </w:numPr>
        <w:spacing w:before="0" w:after="5" w:line="247" w:lineRule="auto"/>
        <w:ind w:left="1056" w:right="598" w:hanging="360"/>
      </w:pPr>
      <w:r>
        <w:rPr>
          <w:rFonts w:cs="Times New Roman" w:hAnsi="Times New Roman" w:eastAsia="Times New Roman" w:ascii="Times New Roman"/>
          <w:b w:val="1"/>
        </w:rPr>
        <w:t xml:space="preserve">Réalisation d’évaluations rétrospectives environnementales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stratégies nationales</w:t>
      </w:r>
      <w:r>
        <w:rPr>
          <w:rFonts w:cs="Times New Roman" w:hAnsi="Times New Roman" w:eastAsia="Times New Roman" w:ascii="Times New Roman"/>
          <w:b w:val="1"/>
        </w:rPr>
        <w:t xml:space="preserve">. </w:t>
      </w:r>
      <w:r>
        <w:rPr/>
        <w:t xml:space="preserve">Afin</w:t>
      </w:r>
      <w:r>
        <w:rPr/>
        <w:t xml:space="preserve"> </w:t>
      </w:r>
      <w:r>
        <w:rPr/>
        <w:t xml:space="preserve">d‟inciter la recherche du meilleur ancrage territorial des politiques et stratégies nationales,</w:t>
      </w:r>
      <w:r>
        <w:rPr/>
        <w:t xml:space="preserve"> </w:t>
      </w:r>
      <w:r>
        <w:rPr/>
        <w:t xml:space="preserve">le projet réalisera des évaluations rétrospectives environnementales de</w:t>
      </w:r>
      <w:r>
        <w:rPr/>
        <w:t xml:space="preserve"> </w:t>
      </w:r>
      <w:r>
        <w:rPr/>
        <w:t xml:space="preserve">stratégies nationales sur les territoires des collectivités. Il s‟agit de documenter les impacts environnementaux résultant</w:t>
      </w:r>
      <w:r>
        <w:rPr/>
        <w:t xml:space="preserve"> </w:t>
      </w:r>
      <w:r>
        <w:rPr/>
        <w:t xml:space="preserve">de</w:t>
      </w:r>
      <w:r>
        <w:rPr/>
        <w:t xml:space="preserve"> </w:t>
      </w:r>
      <w:r>
        <w:rPr/>
        <w:t xml:space="preserve">la mise en œuvre de choix stratégiques comme l‟établissement des pôles de développement prévus</w:t>
      </w:r>
      <w:r>
        <w:rPr/>
        <w:t xml:space="preserve"> </w:t>
      </w:r>
      <w:r>
        <w:rPr/>
        <w:t xml:space="preserve">dans le cadre de la SCADD.</w:t>
      </w:r>
      <w:r>
        <w:rPr/>
        <w:t xml:space="preserve"> </w:t>
      </w:r>
    </w:p>
    <w:p>
      <w:pPr>
        <w:spacing w:before="0" w:after="10" w:line="259" w:lineRule="auto"/>
        <w:ind w:left="1071" w:firstLine="0"/>
        <w:jc w:val="left"/>
      </w:pPr>
      <w:r>
        <w:rPr/>
        <w:t xml:space="preserve"> </w:t>
      </w:r>
    </w:p>
    <w:p>
      <w:pPr>
        <w:pStyle w:val="normal"/>
        <w:numPr>
          <w:ilvl w:val="0"/>
          <w:numId w:val="16"/>
        </w:numPr>
        <w:spacing w:before="0" w:after="5" w:line="247" w:lineRule="auto"/>
        <w:ind w:left="1056" w:right="598" w:hanging="360"/>
      </w:pPr>
      <w:r>
        <w:rPr>
          <w:rFonts w:cs="Times New Roman" w:hAnsi="Times New Roman" w:eastAsia="Times New Roman" w:ascii="Times New Roman"/>
          <w:b w:val="1"/>
        </w:rPr>
        <w:t xml:space="preserve">Appui à</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la mise en place de systèmes d’alerte précoce au niveau local</w:t>
      </w:r>
      <w:r>
        <w:rPr/>
        <w:t xml:space="preserve">.</w:t>
      </w:r>
      <w:r>
        <w:rPr/>
        <w:t xml:space="preserve"> </w:t>
      </w:r>
      <w:r>
        <w:rPr/>
        <w:t xml:space="preserve">Les impacts négatifs des aléas climatiques</w:t>
      </w:r>
      <w:r>
        <w:rPr/>
        <w:t xml:space="preserve"> </w:t>
      </w:r>
      <w:r>
        <w:rPr/>
        <w:t xml:space="preserve">sur les campagnes agricoles peuvent être significativement réduits</w:t>
      </w:r>
      <w:r>
        <w:rPr/>
        <w:t xml:space="preserve"> </w:t>
      </w:r>
      <w:r>
        <w:rPr/>
        <w:t xml:space="preserve">grâce à des systèmes d‟alerte précoces combinant les techniques modernes et les savoirs</w:t>
      </w:r>
      <w:r>
        <w:rPr/>
        <w:t xml:space="preserve">-</w:t>
      </w:r>
      <w:r>
        <w:rPr/>
        <w:t xml:space="preserve">faire</w:t>
      </w:r>
      <w:r>
        <w:rPr/>
        <w:t xml:space="preserve"> </w:t>
      </w:r>
      <w:r>
        <w:rPr/>
        <w:t xml:space="preserve">et </w:t>
      </w:r>
      <w:r>
        <w:rPr/>
        <w:t xml:space="preserve">connaissances</w:t>
      </w:r>
      <w:r>
        <w:rPr/>
        <w:t xml:space="preserve"> </w:t>
      </w:r>
      <w:r>
        <w:rPr/>
        <w:t xml:space="preserve">des communautés. Le projet facilitera la construction de systèmes d‟alerte</w:t>
      </w:r>
      <w:r>
        <w:rPr/>
        <w:t xml:space="preserve"> </w:t>
      </w:r>
      <w:r>
        <w:rPr/>
        <w:t xml:space="preserve">à travers la collaboration entre les chercheurs et les détenteurs de savoirs traditionnels au sein des communautés. Les dispositifs qui en résulteront devront être des outils d‟information efficaces pour la gestion des risques liés à la variabilité de la pluviométrie.</w:t>
      </w:r>
      <w:r>
        <w:rPr/>
        <w:t xml:space="preserve"> </w:t>
      </w:r>
    </w:p>
    <w:p>
      <w:pPr>
        <w:spacing w:before="0" w:after="5" w:line="259" w:lineRule="auto"/>
        <w:ind w:left="720" w:firstLine="0"/>
        <w:jc w:val="left"/>
      </w:pPr>
      <w:r>
        <w:rPr>
          <w:rFonts w:cs="Times New Roman" w:hAnsi="Times New Roman" w:eastAsia="Times New Roman" w:ascii="Times New Roman"/>
          <w:b w:val="1"/>
        </w:rPr>
        <w:t xml:space="preserve"> </w:t>
      </w:r>
    </w:p>
    <w:p>
      <w:pPr>
        <w:pBdr>
          <w:top w:val="single" w:color="000000" w:sz="4"/>
          <w:left w:val="single" w:color="000000" w:sz="4"/>
          <w:bottom w:val="single" w:color="000000" w:sz="4"/>
          <w:right w:val="single" w:color="000000" w:sz="4"/>
        </w:pBdr>
        <w:spacing w:before="0" w:after="306" w:line="244" w:lineRule="auto"/>
        <w:ind w:left="1066" w:right="533"/>
        <w:jc w:val="left"/>
      </w:pPr>
      <w:r>
        <w:rPr>
          <w:rFonts w:cs="Times New Roman" w:hAnsi="Times New Roman" w:eastAsia="Times New Roman" w:ascii="Times New Roman"/>
          <w:b w:val="1"/>
        </w:rPr>
        <w:t xml:space="preserve">Produit 3</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Les plans locaux de développement sont rendus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résilients aux changements climatiques et sont orientés vers une faible émission de gaz à effet de serre</w:t>
      </w:r>
      <w:r>
        <w:rPr>
          <w:rFonts w:cs="Times New Roman" w:hAnsi="Times New Roman" w:eastAsia="Times New Roman" w:ascii="Times New Roman"/>
          <w:b w:val="1"/>
        </w:rPr>
        <w:t xml:space="preserve">  </w:t>
      </w:r>
    </w:p>
    <w:p>
      <w:pPr>
        <w:pBdr>
          <w:top w:val="single" w:color="000000" w:sz="4"/>
          <w:left w:val="single" w:color="000000" w:sz="4"/>
          <w:bottom w:val="single" w:color="000000" w:sz="4"/>
          <w:right w:val="single" w:color="000000" w:sz="4"/>
        </w:pBdr>
        <w:shd w:val="clear" w:color="auto" w:fill="fde9d9"/>
        <w:spacing w:before="0" w:after="2" w:line="240" w:lineRule="auto"/>
        <w:ind w:left="994" w:right="564" w:firstLine="0"/>
        <w:jc w:val="left"/>
      </w:pPr>
      <w:r>
        <w:rPr>
          <w:rFonts w:cs="Calibri" w:hAnsi="Calibri" w:eastAsia="Calibri" w:ascii="Calibri"/>
          <w:i w:val="1"/>
          <w:sz w:val="24"/>
        </w:rPr>
        <w:t xml:space="preserve">Les plans locaux de développement résilients aux changements climatiques et orientées vers une faible émission de gaz à effet de serre (GES)</w:t>
      </w:r>
      <w:r>
        <w:rPr>
          <w:rFonts w:cs="Calibri" w:hAnsi="Calibri" w:eastAsia="Calibri" w:ascii="Calibri"/>
          <w:sz w:val="24"/>
        </w:rPr>
        <w:t xml:space="preserve"> </w:t>
      </w:r>
      <w:r>
        <w:rPr>
          <w:rFonts w:cs="Calibri" w:hAnsi="Calibri" w:eastAsia="Calibri" w:ascii="Calibri"/>
          <w:sz w:val="24"/>
        </w:rPr>
        <w:t xml:space="preserve">résultent de processus multi</w:t>
      </w:r>
      <w:r>
        <w:rPr>
          <w:rFonts w:cs="Calibri" w:hAnsi="Calibri" w:eastAsia="Calibri" w:ascii="Calibri"/>
          <w:sz w:val="24"/>
        </w:rPr>
        <w:t xml:space="preserve">-</w:t>
      </w:r>
      <w:r>
        <w:rPr>
          <w:rFonts w:cs="Calibri" w:hAnsi="Calibri" w:eastAsia="Calibri" w:ascii="Calibri"/>
          <w:sz w:val="24"/>
        </w:rPr>
        <w:t xml:space="preserve">acteurs et multisectoriels d’identification d</w:t>
      </w:r>
      <w:r>
        <w:rPr>
          <w:rFonts w:cs="Calibri" w:hAnsi="Calibri" w:eastAsia="Calibri" w:ascii="Calibri"/>
          <w:sz w:val="24"/>
        </w:rPr>
        <w:t xml:space="preserve">’</w:t>
      </w:r>
      <w:r>
        <w:rPr>
          <w:rFonts w:cs="Calibri" w:hAnsi="Calibri" w:eastAsia="Calibri" w:ascii="Calibri"/>
          <w:sz w:val="24"/>
        </w:rPr>
        <w:t xml:space="preserve">opportunités d’adaptation et d’atténuation et de mécanismes de financement</w:t>
      </w:r>
      <w:r>
        <w:rPr>
          <w:rFonts w:cs="Calibri" w:hAnsi="Calibri" w:eastAsia="Calibri" w:ascii="Calibri"/>
          <w:sz w:val="24"/>
        </w:rPr>
        <w:t xml:space="preserve"> </w:t>
      </w:r>
      <w:r>
        <w:rPr>
          <w:rFonts w:cs="Calibri" w:hAnsi="Calibri" w:eastAsia="Calibri" w:ascii="Calibri"/>
          <w:sz w:val="24"/>
        </w:rPr>
        <w:t xml:space="preserve">réalistes pour réduire la vulnérabilité d’une région donnée aux risques liés aux changements climatiques dans un processus de développement durable</w:t>
      </w:r>
      <w:r>
        <w:rPr>
          <w:rFonts w:cs="Calibri" w:hAnsi="Calibri" w:eastAsia="Calibri" w:ascii="Calibri"/>
          <w:sz w:val="24"/>
        </w:rPr>
        <w:t xml:space="preserve">.</w:t>
      </w:r>
      <w:r>
        <w:rPr>
          <w:rFonts w:cs="Calibri" w:hAnsi="Calibri" w:eastAsia="Calibri" w:ascii="Calibri"/>
          <w:sz w:val="24"/>
        </w:rPr>
        <w:t xml:space="preserve"> </w:t>
      </w:r>
      <w:r>
        <w:rPr>
          <w:rFonts w:cs="Calibri" w:hAnsi="Calibri" w:eastAsia="Calibri" w:ascii="Calibri"/>
          <w:sz w:val="24"/>
        </w:rPr>
        <w:t xml:space="preserve">Les processus sont fondés sur des informations</w:t>
      </w:r>
      <w:r>
        <w:rPr>
          <w:rFonts w:cs="Calibri" w:hAnsi="Calibri" w:eastAsia="Calibri" w:ascii="Calibri"/>
          <w:sz w:val="24"/>
        </w:rPr>
        <w:t xml:space="preserve"> </w:t>
      </w:r>
      <w:r>
        <w:rPr>
          <w:rFonts w:cs="Calibri" w:hAnsi="Calibri" w:eastAsia="Calibri" w:ascii="Calibri"/>
          <w:sz w:val="24"/>
        </w:rPr>
        <w:t xml:space="preserve">scientifiques, des analyses institutionnelles, financières et socio</w:t>
      </w:r>
      <w:r>
        <w:rPr>
          <w:rFonts w:cs="Calibri" w:hAnsi="Calibri" w:eastAsia="Calibri" w:ascii="Calibri"/>
          <w:sz w:val="24"/>
        </w:rPr>
        <w:t xml:space="preserve">-</w:t>
      </w:r>
      <w:r>
        <w:rPr>
          <w:rFonts w:cs="Calibri" w:hAnsi="Calibri" w:eastAsia="Calibri" w:ascii="Calibri"/>
          <w:sz w:val="24"/>
        </w:rPr>
        <w:t xml:space="preserve">économiques robustes et intégrées</w:t>
      </w:r>
      <w:r>
        <w:rPr>
          <w:rFonts w:cs="Calibri" w:hAnsi="Calibri" w:eastAsia="Calibri" w:ascii="Calibri"/>
          <w:sz w:val="24"/>
        </w:rPr>
        <w:t xml:space="preserve">,</w:t>
      </w:r>
      <w:r>
        <w:rPr>
          <w:rFonts w:cs="Calibri" w:hAnsi="Calibri" w:eastAsia="Calibri" w:ascii="Calibri"/>
          <w:sz w:val="24"/>
        </w:rPr>
        <w:t xml:space="preserve"> </w:t>
      </w:r>
      <w:r>
        <w:rPr>
          <w:rFonts w:cs="Calibri" w:hAnsi="Calibri" w:eastAsia="Calibri" w:ascii="Calibri"/>
          <w:sz w:val="24"/>
        </w:rPr>
        <w:t xml:space="preserve">des scenarios de changements climatiques,</w:t>
      </w:r>
      <w:r>
        <w:rPr>
          <w:rFonts w:cs="Calibri" w:hAnsi="Calibri" w:eastAsia="Calibri" w:ascii="Calibri"/>
          <w:sz w:val="24"/>
        </w:rPr>
        <w:t xml:space="preserve"> </w:t>
      </w:r>
      <w:r>
        <w:rPr>
          <w:rFonts w:cs="Calibri" w:hAnsi="Calibri" w:eastAsia="Calibri" w:ascii="Calibri"/>
          <w:sz w:val="24"/>
        </w:rPr>
        <w:t xml:space="preserve">des besoins de développement</w:t>
      </w:r>
      <w:r>
        <w:rPr>
          <w:rFonts w:cs="Calibri" w:hAnsi="Calibri" w:eastAsia="Calibri" w:ascii="Calibri"/>
          <w:sz w:val="24"/>
        </w:rPr>
        <w:t xml:space="preserve"> </w:t>
      </w:r>
      <w:r>
        <w:rPr>
          <w:rFonts w:cs="Calibri" w:hAnsi="Calibri" w:eastAsia="Calibri" w:ascii="Calibri"/>
          <w:sz w:val="24"/>
        </w:rPr>
        <w:t xml:space="preserve">durable et des options de réponses.</w:t>
      </w:r>
      <w:r>
        <w:rPr>
          <w:rFonts w:cs="Calibri" w:hAnsi="Calibri" w:eastAsia="Calibri" w:ascii="Calibri"/>
          <w:sz w:val="24"/>
        </w:rPr>
        <w:t xml:space="preserve">  </w:t>
      </w:r>
      <w:r>
        <w:rPr>
          <w:rFonts w:cs="Calibri" w:hAnsi="Calibri" w:eastAsia="Calibri" w:ascii="Calibri"/>
          <w:sz w:val="24"/>
        </w:rPr>
        <w:t xml:space="preserve">Elles</w:t>
      </w:r>
      <w:r>
        <w:rPr>
          <w:rFonts w:cs="Calibri" w:hAnsi="Calibri" w:eastAsia="Calibri" w:ascii="Calibri"/>
          <w:sz w:val="24"/>
        </w:rPr>
        <w:t xml:space="preserve"> </w:t>
      </w:r>
      <w:r>
        <w:rPr>
          <w:rFonts w:cs="Calibri" w:hAnsi="Calibri" w:eastAsia="Calibri" w:ascii="Calibri"/>
          <w:sz w:val="24"/>
        </w:rPr>
        <w:t xml:space="preserve">aboutissent</w:t>
      </w:r>
      <w:r>
        <w:rPr>
          <w:rFonts w:cs="Calibri" w:hAnsi="Calibri" w:eastAsia="Calibri" w:ascii="Calibri"/>
          <w:sz w:val="24"/>
        </w:rPr>
        <w:t xml:space="preserve"> </w:t>
      </w:r>
      <w:r>
        <w:rPr>
          <w:rFonts w:cs="Calibri" w:hAnsi="Calibri" w:eastAsia="Calibri" w:ascii="Calibri"/>
          <w:sz w:val="24"/>
        </w:rPr>
        <w:t xml:space="preserve">à des feuilles de route stratégiques et programmatiques pour placer les économies locales sur des trajectoires de  développement à faible carbone et résilients aux changements climatiques.</w:t>
      </w:r>
      <w:r>
        <w:rPr>
          <w:rFonts w:cs="Calibri" w:hAnsi="Calibri" w:eastAsia="Calibri" w:ascii="Calibri"/>
          <w:sz w:val="24"/>
        </w:rPr>
        <w:t xml:space="preserve">  </w:t>
      </w:r>
    </w:p>
    <w:p>
      <w:pPr>
        <w:spacing w:before="0" w:after="6" w:line="259" w:lineRule="auto"/>
        <w:ind w:left="0" w:firstLine="0"/>
        <w:jc w:val="left"/>
      </w:pPr>
      <w:r>
        <w:rPr/>
        <w:t xml:space="preserve"> </w:t>
      </w:r>
    </w:p>
    <w:p>
      <w:pPr>
        <w:pStyle w:val="normal"/>
        <w:numPr>
          <w:ilvl w:val="0"/>
          <w:numId w:val="16"/>
        </w:numPr>
        <w:spacing w:before="0" w:after="5" w:line="247" w:lineRule="auto"/>
        <w:ind w:left="1056" w:right="598" w:hanging="360"/>
      </w:pPr>
      <w:r>
        <w:rPr>
          <w:rFonts w:cs="Times New Roman" w:hAnsi="Times New Roman" w:eastAsia="Times New Roman" w:ascii="Times New Roman"/>
          <w:b w:val="1"/>
        </w:rPr>
        <w:t xml:space="preserve">Appui à l’élaboration et la mise en œuvre de plans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de développement des capacités de gestion des changements climatiques au niveau des collectivités</w:t>
      </w:r>
      <w:r>
        <w:rPr/>
        <w:t xml:space="preserve">. </w:t>
      </w:r>
      <w:r>
        <w:rPr/>
        <w:t xml:space="preserve">Les plans locaux de développement</w:t>
      </w:r>
      <w:r>
        <w:rPr/>
        <w:t xml:space="preserve"> </w:t>
      </w:r>
      <w:r>
        <w:rPr/>
        <w:t xml:space="preserve">(plans régionaux et plans communaux)</w:t>
      </w:r>
      <w:r>
        <w:rPr/>
        <w:t xml:space="preserve"> </w:t>
      </w:r>
      <w:r>
        <w:rPr/>
        <w:t xml:space="preserve">constituent les outils de base pour la réalisation des ambitions nationales en matière d‟environnement. Le processus de décentralisation au Burkina Faso abordera au cours de ce cycle une phase de consolidation majeure avec le parachèvement du transfert des compétences. Les collectivités devront ainsi assurer de nouvelles compétences par rapport</w:t>
      </w:r>
      <w:r>
        <w:rPr/>
        <w:t xml:space="preserve"> </w:t>
      </w:r>
      <w:r>
        <w:rPr/>
        <w:t xml:space="preserve">à la gestion de l‟environnement</w:t>
      </w:r>
      <w:r>
        <w:rPr/>
        <w:t xml:space="preserve">.  </w:t>
      </w:r>
      <w:r>
        <w:rPr/>
        <w:t xml:space="preserve"> </w:t>
      </w:r>
    </w:p>
    <w:p>
      <w:pPr>
        <w:spacing w:before="0" w:after="1" w:line="259" w:lineRule="auto"/>
        <w:ind w:left="1071" w:firstLine="0"/>
        <w:jc w:val="left"/>
      </w:pPr>
      <w:r>
        <w:rPr/>
        <w:t xml:space="preserve"> </w:t>
      </w:r>
    </w:p>
    <w:p>
      <w:pPr>
        <w:pStyle w:val="normal"/>
        <w:spacing w:before="0" w:after="5" w:line="247" w:lineRule="auto"/>
        <w:ind w:left="1081" w:right="598"/>
      </w:pPr>
      <w:r>
        <w:rPr/>
        <w:t xml:space="preserve">Il s‟avère nécessaire de rendre les acteurs des collectivités</w:t>
      </w:r>
      <w:r>
        <w:rPr/>
        <w:t xml:space="preserve"> </w:t>
      </w:r>
      <w:r>
        <w:rPr/>
        <w:t xml:space="preserve">(au niveau régional et communal)</w:t>
      </w:r>
      <w:r>
        <w:rPr/>
        <w:t xml:space="preserve"> </w:t>
      </w:r>
      <w:r>
        <w:rPr/>
        <w:t xml:space="preserve">capables d‟accroître la résilience du développement local aux changements climatiques et de promouvoir des mécanismes pro</w:t>
      </w:r>
      <w:r>
        <w:rPr/>
        <w:t xml:space="preserve">-</w:t>
      </w:r>
      <w:r>
        <w:rPr/>
        <w:t xml:space="preserve">pauvres de création de richesses.</w:t>
      </w:r>
      <w:r>
        <w:rPr/>
        <w:t xml:space="preserve"> </w:t>
      </w:r>
      <w:r>
        <w:rPr/>
        <w:t xml:space="preserve">Le projet appuiera le processus de renforcement des capacités</w:t>
      </w:r>
      <w:r>
        <w:rPr/>
        <w:t xml:space="preserve"> </w:t>
      </w:r>
      <w:r>
        <w:rPr/>
        <w:t xml:space="preserve">des différents profils d‟acteurs au niveau décentralisé (élus, locaux, services techniques déconcentrés, organisations de la société civile, prestataires de services, opérateurs privés). Les activités porteront sur l‟appui à l‟analyse des capacités, l‟élaboration et la mise en œuvre des plans de développement des capacités de prise en charge des défis des changements climatiques</w:t>
      </w:r>
      <w:r>
        <w:rPr/>
        <w:t xml:space="preserve"> </w:t>
      </w:r>
      <w:r>
        <w:rPr/>
        <w:t xml:space="preserve">et l‟appui à la mise en place ou au renforcement de cadres de gouvernance au niveau régional et communal</w:t>
      </w:r>
      <w:r>
        <w:rPr/>
        <w:t xml:space="preserve">.</w:t>
      </w:r>
      <w:r>
        <w:rPr/>
        <w:t xml:space="preserve"> </w:t>
      </w:r>
      <w:r>
        <w:rPr/>
        <w:t xml:space="preserve">Ces cadres de gouvernance devront être capables d‟assurer le caractère participatif, transversal, cohérent de la programmation régionale et communale</w:t>
      </w:r>
      <w:r>
        <w:rPr/>
        <w:t xml:space="preserve"> </w:t>
      </w:r>
      <w:r>
        <w:rPr/>
        <w:t xml:space="preserve">en tenant compte des risques et opportunités des changements climatiques</w:t>
      </w:r>
      <w:r>
        <w:rPr/>
        <w:t xml:space="preserve">. </w:t>
      </w:r>
      <w:r>
        <w:rPr/>
        <w:t xml:space="preserve">Ils incitent les partenaires à aligner leurs interventions sur les objectifs, activités et projets identifiés dans le souci de renforcer la résilience aux changements climatique et d‟obtenir de faibles émissions de gaz à effet de serre</w:t>
      </w:r>
      <w:r>
        <w:rPr>
          <w:sz w:val="24"/>
        </w:rPr>
        <w:t xml:space="preserve">.</w:t>
      </w:r>
      <w:r>
        <w:rPr>
          <w:sz w:val="24"/>
        </w:rPr>
        <w:t xml:space="preserve"> </w:t>
      </w:r>
      <w:r>
        <w:rPr/>
        <w:t xml:space="preserve">Ils conviennent des mécanismes et outils de suivi et d‟évaluation des performances des interventions dans le domaine des changements climatiques.</w:t>
      </w:r>
      <w:r>
        <w:rPr/>
        <w:t xml:space="preserve"> </w:t>
      </w:r>
      <w:r>
        <w:rPr/>
        <w:t xml:space="preserve">Une attention</w:t>
      </w:r>
      <w:r>
        <w:rPr/>
        <w:t xml:space="preserve"> </w:t>
      </w:r>
      <w:r>
        <w:rPr/>
        <w:t xml:space="preserve">particulière sera portée sur les</w:t>
      </w:r>
      <w:r>
        <w:rPr/>
        <w:t xml:space="preserve"> </w:t>
      </w:r>
      <w:r>
        <w:rPr/>
        <w:t xml:space="preserve">capacités de ces cadres à assurer la prise en compte du genre dans la programmation et le suivi</w:t>
      </w:r>
      <w:r>
        <w:rPr/>
        <w:t xml:space="preserve">-</w:t>
      </w:r>
      <w:r>
        <w:rPr/>
        <w:t xml:space="preserve">évaluation des interventions.</w:t>
      </w:r>
      <w:r>
        <w:rPr/>
        <w:t xml:space="preserve"> </w:t>
      </w:r>
    </w:p>
    <w:p>
      <w:pPr>
        <w:spacing w:before="0" w:after="16" w:line="259" w:lineRule="auto"/>
        <w:ind w:left="1071" w:firstLine="0"/>
        <w:jc w:val="left"/>
      </w:pPr>
      <w:r>
        <w:rPr/>
        <w:t xml:space="preserve"> </w:t>
      </w:r>
    </w:p>
    <w:p>
      <w:pPr>
        <w:pStyle w:val="normal"/>
        <w:spacing w:before="0" w:after="5" w:line="247" w:lineRule="auto"/>
        <w:ind w:left="1081" w:right="598"/>
      </w:pPr>
      <w:r>
        <w:rPr/>
        <w:t xml:space="preserve">Les formations seront organisées notamment à l‟intention des organisations de la société civile pour leur permettre de valoriser au mieux les espaces de participation citoyenne disponibles.</w:t>
      </w:r>
      <w:r>
        <w:rPr/>
        <w:t xml:space="preserve"> </w:t>
      </w:r>
      <w:r>
        <w:rPr/>
        <w:t xml:space="preserve">Les structures d‟appui conseil privés et publiques bénéficieront également des formations destinés à leur faire maîtriser les outils pertinents pour l‟appui méthodologique à l‟élaboration de plans locaux de développement résilients aux changements climatiques et orientés</w:t>
      </w:r>
      <w:r>
        <w:rPr/>
        <w:t xml:space="preserve"> </w:t>
      </w:r>
      <w:r>
        <w:rPr/>
        <w:t xml:space="preserve">vers une faible émission de gaz à effet de serre</w:t>
      </w:r>
      <w:r>
        <w:rPr/>
        <w:t xml:space="preserve">.</w:t>
      </w:r>
      <w:r>
        <w:rPr/>
        <w:t xml:space="preserve"> </w:t>
      </w:r>
    </w:p>
    <w:p>
      <w:pPr>
        <w:spacing w:before="0" w:after="19" w:line="259" w:lineRule="auto"/>
        <w:ind w:left="1071" w:firstLine="0"/>
        <w:jc w:val="left"/>
      </w:pPr>
      <w:r>
        <w:rPr/>
        <w:t xml:space="preserve"> </w:t>
      </w:r>
    </w:p>
    <w:p>
      <w:pPr>
        <w:pStyle w:val="normal"/>
        <w:numPr>
          <w:ilvl w:val="0"/>
          <w:numId w:val="16"/>
        </w:numPr>
        <w:spacing w:before="0" w:after="5" w:line="247" w:lineRule="auto"/>
        <w:ind w:left="1056" w:right="598" w:hanging="360"/>
      </w:pPr>
      <w:r>
        <w:rPr>
          <w:rFonts w:cs="Times New Roman" w:hAnsi="Times New Roman" w:eastAsia="Times New Roman" w:ascii="Times New Roman"/>
          <w:b w:val="1"/>
        </w:rPr>
        <w:t xml:space="preserve">Mise au point d’outils d’analyse de la vulnérabilité et de définition d’options d’adaptation au niveau décentralisé</w:t>
      </w:r>
      <w:r>
        <w:rPr/>
        <w:t xml:space="preserve">. </w:t>
      </w:r>
      <w:r>
        <w:rPr/>
        <w:t xml:space="preserve">Les activités concerneront la mise au point</w:t>
      </w:r>
      <w:r>
        <w:rPr/>
        <w:t xml:space="preserve"> </w:t>
      </w:r>
      <w:r>
        <w:rPr/>
        <w:t xml:space="preserve">ou l‟adaptation des outils d‟analyse</w:t>
      </w:r>
      <w:r>
        <w:rPr/>
        <w:t xml:space="preserve"> </w:t>
      </w:r>
      <w:r>
        <w:rPr/>
        <w:t xml:space="preserve">de vulnérabilité</w:t>
      </w:r>
      <w:r>
        <w:rPr/>
        <w:t xml:space="preserve">,</w:t>
      </w:r>
      <w:r>
        <w:rPr/>
        <w:t xml:space="preserve"> </w:t>
      </w:r>
      <w:r>
        <w:rPr/>
        <w:t xml:space="preserve">de définition d‟options d‟adaptation au niveau décentralisé</w:t>
      </w:r>
      <w:r>
        <w:rPr/>
        <w:t xml:space="preserve"> </w:t>
      </w:r>
      <w:r>
        <w:rPr/>
        <w:t xml:space="preserve">et</w:t>
      </w:r>
      <w:r>
        <w:rPr/>
        <w:t xml:space="preserve"> </w:t>
      </w:r>
      <w:r>
        <w:rPr/>
        <w:t xml:space="preserve">l‟appui à l‟adaptation des guides d‟élaboration des plans</w:t>
      </w:r>
      <w:r>
        <w:rPr/>
        <w:t xml:space="preserve"> </w:t>
      </w:r>
      <w:r>
        <w:rPr/>
        <w:t xml:space="preserve">régionaux et communaux</w:t>
      </w:r>
      <w:r>
        <w:rPr/>
        <w:t xml:space="preserve"> </w:t>
      </w:r>
      <w:r>
        <w:rPr/>
        <w:t xml:space="preserve">de développement</w:t>
      </w:r>
      <w:r>
        <w:rPr/>
        <w:t xml:space="preserve">.</w:t>
      </w:r>
      <w:r>
        <w:rPr/>
        <w:t xml:space="preserve">  </w:t>
      </w:r>
    </w:p>
    <w:p>
      <w:pPr>
        <w:spacing w:before="0" w:after="0" w:line="259" w:lineRule="auto"/>
        <w:ind w:left="1071" w:firstLine="0"/>
        <w:jc w:val="left"/>
      </w:pPr>
      <w:r>
        <w:rPr/>
        <w:t xml:space="preserve"> </w:t>
      </w:r>
    </w:p>
    <w:p>
      <w:pPr>
        <w:pStyle w:val="heading4"/>
        <w:spacing w:before="0" w:after="15" w:line="248" w:lineRule="auto"/>
        <w:ind w:left="706"/>
      </w:pPr>
      <w:r>
        <w:rPr>
          <w:u w:val="none" w:color="000000"/>
        </w:rPr>
        <w:t xml:space="preserve">10.</w:t>
      </w:r>
      <w:r>
        <w:rPr>
          <w:rFonts w:cs="Arial" w:hAnsi="Arial" w:eastAsia="Arial" w:ascii="Arial"/>
          <w:u w:val="none" w:color="000000"/>
        </w:rPr>
        <w:t xml:space="preserve"> </w:t>
      </w:r>
      <w:r>
        <w:rPr>
          <w:rFonts w:cs="Times New Roman" w:hAnsi="Times New Roman" w:eastAsia="Times New Roman" w:ascii="Times New Roman"/>
          <w:b w:val="1"/>
          <w:u w:val="none" w:color="000000"/>
        </w:rPr>
        <w:t xml:space="preserve">Capitalisation et la diffusion des bonnes pratiques </w:t>
      </w:r>
      <w:r>
        <w:rPr>
          <w:u w:val="none" w:color="000000"/>
        </w:rPr>
        <w:t xml:space="preserve"> </w:t>
      </w:r>
    </w:p>
    <w:p>
      <w:pPr>
        <w:spacing w:before="0" w:after="0" w:line="259" w:lineRule="auto"/>
        <w:ind w:left="720" w:firstLine="0"/>
        <w:jc w:val="left"/>
      </w:pPr>
      <w:r>
        <w:rPr>
          <w:rFonts w:cs="Times New Roman" w:hAnsi="Times New Roman" w:eastAsia="Times New Roman" w:ascii="Times New Roman"/>
          <w:b w:val="1"/>
        </w:rPr>
        <w:t xml:space="preserve"> </w:t>
      </w:r>
    </w:p>
    <w:p>
      <w:pPr>
        <w:pStyle w:val="normal"/>
        <w:spacing w:before="0" w:after="5" w:line="247" w:lineRule="auto"/>
        <w:ind w:left="1081" w:right="598"/>
      </w:pPr>
      <w:r>
        <w:rPr/>
        <w:t xml:space="preserve">Afin de faciliter l‟adaptation ou l‟adoption des pratiques efficaces en termes</w:t>
      </w:r>
      <w:r>
        <w:rPr/>
        <w:t xml:space="preserve"> </w:t>
      </w:r>
      <w:r>
        <w:rPr/>
        <w:t xml:space="preserve">d‟adaptation et d‟atténuation, le projet portera une attention particulière à la capitalisation des expériences dans la</w:t>
      </w:r>
      <w:r>
        <w:rPr/>
        <w:t xml:space="preserve"> </w:t>
      </w:r>
      <w:r>
        <w:rPr/>
        <w:t xml:space="preserve">gestion des ressources naturelles</w:t>
      </w:r>
      <w:r>
        <w:rPr/>
        <w:t xml:space="preserve">, </w:t>
      </w:r>
      <w:r>
        <w:rPr/>
        <w:t xml:space="preserve">la promotion des technologies appropriés</w:t>
      </w:r>
      <w:r>
        <w:rPr/>
        <w:t xml:space="preserve"> </w:t>
      </w:r>
      <w:r>
        <w:rPr/>
        <w:t xml:space="preserve">et</w:t>
      </w:r>
      <w:r>
        <w:rPr/>
        <w:t xml:space="preserve"> </w:t>
      </w:r>
      <w:r>
        <w:rPr/>
        <w:t xml:space="preserve">des énergies alternatives. Le défi dans les activités de capitalisation est d‟assurer la valorisation des savoirs</w:t>
      </w:r>
      <w:r>
        <w:rPr/>
        <w:t xml:space="preserve"/>
      </w:r>
      <w:r>
        <w:rPr/>
        <w:t xml:space="preserve">faire endogènes et de faciliter l‟accès des acteurs des collectivités aux connaissances scientifiques et technologiques pertinentes pour la transition</w:t>
      </w:r>
      <w:r>
        <w:rPr/>
        <w:t xml:space="preserve"> </w:t>
      </w:r>
      <w:r>
        <w:rPr/>
        <w:t xml:space="preserve">des économies locales vers une croissance pro</w:t>
      </w:r>
      <w:r>
        <w:rPr/>
        <w:t xml:space="preserve"/>
      </w:r>
      <w:r>
        <w:rPr/>
        <w:t xml:space="preserve">pauvre, à faible impacts sur l‟environnement et résiliente aux changements climatiques.</w:t>
      </w:r>
      <w:r>
        <w:rPr/>
        <w:t xml:space="preserve"> </w:t>
      </w:r>
    </w:p>
    <w:p>
      <w:pPr>
        <w:spacing w:before="0" w:after="28" w:line="259" w:lineRule="auto"/>
        <w:ind w:left="720" w:firstLine="0"/>
        <w:jc w:val="left"/>
      </w:pPr>
      <w:r>
        <w:rPr/>
        <w:t xml:space="preserve"> </w:t>
      </w:r>
    </w:p>
    <w:p>
      <w:pPr>
        <w:numPr>
          <w:ilvl w:val="0"/>
          <w:numId w:val="17"/>
        </w:numPr>
        <w:spacing w:before="0" w:after="15" w:line="248" w:lineRule="auto"/>
        <w:ind w:left="1056" w:right="598" w:hanging="360"/>
        <w:jc w:val="left"/>
      </w:pPr>
      <w:r>
        <w:rPr>
          <w:rFonts w:cs="Times New Roman" w:hAnsi="Times New Roman" w:eastAsia="Times New Roman" w:ascii="Times New Roman"/>
          <w:b w:val="1"/>
        </w:rPr>
        <w:t xml:space="preserve">Appui à l’intégration des défis d’adaptation aux changements climatiques et de réduction des émissions de carbone dans les plans locaux de développement</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p>
    <w:p>
      <w:pPr>
        <w:pStyle w:val="normal"/>
        <w:spacing w:before="0" w:after="53" w:line="247" w:lineRule="auto"/>
        <w:ind w:left="1081" w:right="598"/>
      </w:pPr>
      <w:r>
        <w:rPr/>
        <w:t xml:space="preserve">Le projet soutiendra en collaboration avec les autres structures d‟appui comme le Programme de Renforcement de la Gouvernance, l‟intégration de la dimension changements climatiques dans les plans </w:t>
      </w:r>
      <w:r>
        <w:rPr/>
        <w:t xml:space="preserve"> </w:t>
      </w:r>
      <w:r>
        <w:rPr/>
        <w:t xml:space="preserve">régionaux</w:t>
      </w:r>
      <w:r>
        <w:rPr/>
        <w:t xml:space="preserve"> </w:t>
      </w:r>
      <w:r>
        <w:rPr/>
        <w:t xml:space="preserve">de développement</w:t>
      </w:r>
      <w:r>
        <w:rPr/>
        <w:t xml:space="preserve"> </w:t>
      </w:r>
      <w:r>
        <w:rPr/>
        <w:t xml:space="preserve">et les plans communaux de développement en mettant à disposition les compétences et les outils appropriés pour la prise en compte des risques et des opportunités liés aux changements climatiques. Les plans locaux élaborés dans ce contexte doivent établir les bases du verdissement des économies locales. Les étapes importantes suivantes marqueront l‟élaboration des plans régionaux de développement résilients aux changements climatiques et à faible émission de carbone</w:t>
      </w:r>
      <w:r>
        <w:rPr/>
        <w:t xml:space="preserve"> </w:t>
      </w:r>
      <w:r>
        <w:rPr/>
        <w:t xml:space="preserve">:</w:t>
      </w:r>
      <w:r>
        <w:rPr/>
        <w:t xml:space="preserve"> </w:t>
      </w:r>
    </w:p>
    <w:p>
      <w:pPr>
        <w:pStyle w:val="normal"/>
        <w:numPr>
          <w:ilvl w:val="1"/>
          <w:numId w:val="17"/>
        </w:numPr>
        <w:spacing w:before="0" w:after="50" w:line="247" w:lineRule="auto"/>
        <w:ind w:left="1428" w:right="598" w:hanging="360"/>
      </w:pPr>
      <w:r>
        <w:rPr/>
        <w:t xml:space="preserve">Mise en place d‟une plateforme de partenariat et de coordination et d‟un processus participatif de planification </w:t>
      </w:r>
      <w:r>
        <w:rPr/>
        <w:t xml:space="preserve"> </w:t>
      </w:r>
    </w:p>
    <w:p>
      <w:pPr>
        <w:pStyle w:val="normal"/>
        <w:numPr>
          <w:ilvl w:val="1"/>
          <w:numId w:val="17"/>
        </w:numPr>
        <w:spacing w:before="0" w:after="5" w:line="247" w:lineRule="auto"/>
        <w:ind w:left="1428" w:right="598" w:hanging="360"/>
      </w:pPr>
      <w:r>
        <w:rPr/>
        <w:t xml:space="preserve">Préparation d‟un profil de changement climatique et de scénario de vulnérabilité</w:t>
      </w:r>
      <w:r>
        <w:rPr/>
        <w:t xml:space="preserve"> </w:t>
      </w:r>
    </w:p>
    <w:p>
      <w:pPr>
        <w:pStyle w:val="normal"/>
        <w:numPr>
          <w:ilvl w:val="1"/>
          <w:numId w:val="17"/>
        </w:numPr>
        <w:spacing w:before="0" w:after="5" w:line="247" w:lineRule="auto"/>
        <w:ind w:left="1428" w:right="598" w:hanging="360"/>
      </w:pPr>
      <w:r>
        <w:rPr/>
        <w:t xml:space="preserve">Identification d‟options stratégiques pour la faible émission</w:t>
      </w:r>
      <w:r>
        <w:rPr/>
        <w:t xml:space="preserve"> </w:t>
      </w:r>
      <w:r>
        <w:rPr/>
        <w:t xml:space="preserve">de carbone et des trajectoires de développement résilients aux changements climatiques</w:t>
      </w:r>
      <w:r>
        <w:rPr/>
        <w:t xml:space="preserve"> </w:t>
      </w:r>
    </w:p>
    <w:p>
      <w:pPr>
        <w:pStyle w:val="normal"/>
        <w:numPr>
          <w:ilvl w:val="1"/>
          <w:numId w:val="17"/>
        </w:numPr>
        <w:spacing w:before="0" w:after="5" w:line="247" w:lineRule="auto"/>
        <w:ind w:left="1428" w:right="598" w:hanging="360"/>
      </w:pPr>
      <w:r>
        <w:rPr/>
        <w:t xml:space="preserve">Priorisation des options stratégiques à travers des évaluations de faisabilité technologiques, sociales et financières et des analyses coût</w:t>
      </w:r>
      <w:r>
        <w:rPr/>
        <w:t xml:space="preserve">-</w:t>
      </w:r>
      <w:r>
        <w:rPr/>
        <w:t xml:space="preserve">bénéfices. </w:t>
      </w:r>
      <w:r>
        <w:rPr/>
        <w:t xml:space="preserve"> </w:t>
      </w:r>
    </w:p>
    <w:p>
      <w:pPr>
        <w:pStyle w:val="normal"/>
        <w:numPr>
          <w:ilvl w:val="1"/>
          <w:numId w:val="17"/>
        </w:numPr>
        <w:spacing w:before="0" w:after="5" w:line="247" w:lineRule="auto"/>
        <w:ind w:left="1428" w:right="598" w:hanging="360"/>
      </w:pPr>
      <w:r>
        <w:rPr/>
        <w:t xml:space="preserve">Préparation de la feuille de route du développement à faible émission et résilient aux changements climatiques </w:t>
      </w:r>
      <w:r>
        <w:rPr/>
        <w:t xml:space="preserve"> </w:t>
      </w:r>
    </w:p>
    <w:p>
      <w:pPr>
        <w:spacing w:before="0" w:after="30" w:line="259" w:lineRule="auto"/>
        <w:ind w:left="1071" w:firstLine="0"/>
        <w:jc w:val="left"/>
      </w:pPr>
      <w:r>
        <w:rPr/>
        <w:t xml:space="preserve"> </w:t>
      </w:r>
    </w:p>
    <w:p>
      <w:pPr>
        <w:pStyle w:val="normal"/>
        <w:numPr>
          <w:ilvl w:val="0"/>
          <w:numId w:val="17"/>
        </w:numPr>
        <w:spacing w:before="0" w:after="5" w:line="247" w:lineRule="auto"/>
        <w:ind w:left="1056" w:right="598" w:hanging="360"/>
        <w:jc w:val="left"/>
      </w:pPr>
      <w:r>
        <w:rPr>
          <w:rFonts w:cs="Times New Roman" w:hAnsi="Times New Roman" w:eastAsia="Times New Roman" w:ascii="Times New Roman"/>
          <w:b w:val="1"/>
        </w:rPr>
        <w:t xml:space="preserve">Appui à l’élaboration des chartes locales pour la gestion des ressources naturelles</w:t>
      </w:r>
      <w:r>
        <w:rPr/>
        <w:t xml:space="preserve"> </w:t>
      </w:r>
      <w:r>
        <w:rPr/>
        <w:t xml:space="preserve">L‟élaboration des chartes locales pour la gestion des ressources naturelles</w:t>
      </w:r>
      <w:r>
        <w:rPr/>
        <w:t xml:space="preserve"> </w:t>
      </w:r>
      <w:r>
        <w:rPr/>
        <w:t xml:space="preserve">et les actions pilotes au profit des communautés constituent</w:t>
      </w:r>
      <w:r>
        <w:rPr/>
        <w:t xml:space="preserve"> </w:t>
      </w:r>
      <w:r>
        <w:rPr/>
        <w:t xml:space="preserve">les</w:t>
      </w:r>
      <w:r>
        <w:rPr/>
        <w:t xml:space="preserve"> </w:t>
      </w:r>
      <w:r>
        <w:rPr/>
        <w:t xml:space="preserve">principaux points</w:t>
      </w:r>
      <w:r>
        <w:rPr/>
        <w:t xml:space="preserve"> </w:t>
      </w:r>
      <w:r>
        <w:rPr/>
        <w:t xml:space="preserve">d‟entrée du projet </w:t>
      </w:r>
      <w:r>
        <w:rPr/>
        <w:t xml:space="preserve"> </w:t>
      </w:r>
      <w:r>
        <w:rPr/>
        <w:t xml:space="preserve">pour la promotion de l‟équité homme</w:t>
      </w:r>
      <w:r>
        <w:rPr/>
        <w:t xml:space="preserve">-</w:t>
      </w:r>
      <w:r>
        <w:rPr/>
        <w:t xml:space="preserve">femme</w:t>
      </w:r>
      <w:r>
        <w:rPr/>
        <w:t xml:space="preserve"> </w:t>
      </w:r>
      <w:r>
        <w:rPr/>
        <w:t xml:space="preserve">dans la gestion des ressources naturelles. En effet l‟appui à la construction de nouvelles règles communautaires de gestion des ressources offre l‟opportunité d‟accompagner l‟analyse des iniquités</w:t>
      </w:r>
      <w:r>
        <w:rPr/>
        <w:t xml:space="preserve"> </w:t>
      </w:r>
      <w:r>
        <w:rPr/>
        <w:t xml:space="preserve">et l‟identification de mesures qui renforcent la place de la femme dans le processus de décision, son accès aux ressources et le renforcement de ces capacités techniques. Le projet appuiera l‟élaboration des chartes foncières locales par les communautés qui en éprouvent le besoin pour des ressources stratégiques pour leur adaptation aux changements climatiques.</w:t>
      </w:r>
      <w:r>
        <w:rPr/>
        <w:t xml:space="preserve"> </w:t>
      </w:r>
    </w:p>
    <w:p>
      <w:pPr>
        <w:spacing w:before="0" w:after="0" w:line="259" w:lineRule="auto"/>
        <w:ind w:left="0" w:firstLine="0"/>
        <w:jc w:val="left"/>
      </w:pPr>
      <w:r>
        <w:rPr>
          <w:sz w:val="16"/>
        </w:rPr>
        <w:t xml:space="preserve"> 	 </w:t>
      </w:r>
    </w:p>
    <w:p>
      <w:pPr>
        <w:spacing w:before="0" w:after="73" w:line="259" w:lineRule="auto"/>
        <w:ind w:left="0" w:firstLine="0"/>
        <w:jc w:val="left"/>
      </w:pPr>
      <w:r>
        <w:rPr>
          <w:sz w:val="16"/>
        </w:rPr>
        <w:t xml:space="preserve"> </w:t>
      </w:r>
    </w:p>
    <w:p>
      <w:pPr>
        <w:pBdr>
          <w:top w:val="single" w:color="000000" w:sz="4"/>
          <w:left w:val="single" w:color="000000" w:sz="4"/>
          <w:bottom w:val="single" w:color="000000" w:sz="4"/>
          <w:right w:val="single" w:color="000000" w:sz="4"/>
        </w:pBdr>
        <w:spacing w:before="0" w:after="0" w:line="244" w:lineRule="auto"/>
        <w:ind w:left="1066" w:right="533"/>
        <w:jc w:val="left"/>
      </w:pPr>
      <w:r>
        <w:rPr>
          <w:rFonts w:cs="Times New Roman" w:hAnsi="Times New Roman" w:eastAsia="Times New Roman" w:ascii="Times New Roman"/>
          <w:b w:val="1"/>
          <w:u w:val="single" w:color="000000"/>
        </w:rPr>
        <w:t xml:space="preserve">Produit 4</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Les Collectivités Territoriales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et les communautés de base ont accès aux sources de financement et aux technologies appropriés pour mettre en œuvre des plans locaux de développement  résilients aux changements climatiques et orientés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vers une faible émission de gaz à effet de serre</w:t>
      </w:r>
      <w:r>
        <w:rPr>
          <w:rFonts w:cs="Times New Roman" w:hAnsi="Times New Roman" w:eastAsia="Times New Roman" w:ascii="Times New Roman"/>
          <w:b w:val="1"/>
        </w:rPr>
        <w:t xml:space="preserve"> </w:t>
      </w:r>
    </w:p>
    <w:p>
      <w:pPr>
        <w:spacing w:before="0" w:after="0" w:line="259" w:lineRule="auto"/>
        <w:ind w:left="0" w:firstLine="0"/>
        <w:jc w:val="left"/>
      </w:pPr>
      <w:r>
        <w:rPr>
          <w:rFonts w:cs="Times New Roman" w:hAnsi="Times New Roman" w:eastAsia="Times New Roman" w:ascii="Times New Roman"/>
          <w:b w:val="1"/>
          <w:i w:val="1"/>
        </w:rPr>
        <w:t xml:space="preserve"> 	</w:t>
      </w:r>
      <w:r>
        <w:rPr>
          <w:rFonts w:cs="Times New Roman" w:hAnsi="Times New Roman" w:eastAsia="Times New Roman" w:ascii="Times New Roman"/>
          <w:b w:val="1"/>
          <w:i w:val="1"/>
          <w:sz w:val="16"/>
        </w:rPr>
        <w:t xml:space="preserve"> </w:t>
      </w:r>
    </w:p>
    <w:p>
      <w:pPr>
        <w:spacing w:before="0" w:after="13" w:line="259" w:lineRule="auto"/>
        <w:ind w:left="0" w:firstLine="0"/>
        <w:jc w:val="left"/>
      </w:pPr>
      <w:r>
        <w:rPr/>
        <w:t xml:space="preserve">                                      </w:t>
      </w:r>
    </w:p>
    <w:p>
      <w:pPr>
        <w:pStyle w:val="heading4"/>
        <w:spacing w:before="0" w:after="15" w:line="248" w:lineRule="auto"/>
        <w:ind w:left="706"/>
      </w:pPr>
      <w:r>
        <w:rPr>
          <w:u w:val="none" w:color="000000"/>
        </w:rPr>
        <w:t xml:space="preserve">13.</w:t>
      </w:r>
      <w:r>
        <w:rPr>
          <w:rFonts w:cs="Arial" w:hAnsi="Arial" w:eastAsia="Arial" w:ascii="Arial"/>
          <w:u w:val="none" w:color="000000"/>
        </w:rPr>
        <w:t xml:space="preserve"> </w:t>
      </w:r>
      <w:r>
        <w:rPr>
          <w:rFonts w:cs="Times New Roman" w:hAnsi="Times New Roman" w:eastAsia="Times New Roman" w:ascii="Times New Roman"/>
          <w:b w:val="1"/>
          <w:u w:val="none" w:color="000000"/>
        </w:rPr>
        <w:t xml:space="preserve">Appui à la mise en place d’un Fonds National</w:t>
      </w:r>
      <w:r>
        <w:rPr>
          <w:rFonts w:cs="Times New Roman" w:hAnsi="Times New Roman" w:eastAsia="Times New Roman" w:ascii="Times New Roman"/>
          <w:b w:val="1"/>
          <w:u w:val="none" w:color="000000"/>
        </w:rPr>
        <w:t xml:space="preserve"> </w:t>
      </w:r>
      <w:r>
        <w:rPr>
          <w:rFonts w:cs="Times New Roman" w:hAnsi="Times New Roman" w:eastAsia="Times New Roman" w:ascii="Times New Roman"/>
          <w:b w:val="1"/>
          <w:u w:val="none" w:color="000000"/>
        </w:rPr>
        <w:t xml:space="preserve">pour le Climat (FNC)</w:t>
      </w:r>
      <w:r>
        <w:rPr>
          <w:rFonts w:cs="Times New Roman" w:hAnsi="Times New Roman" w:eastAsia="Times New Roman" w:ascii="Times New Roman"/>
          <w:b w:val="1"/>
          <w:u w:val="none" w:color="000000"/>
        </w:rPr>
        <w:t xml:space="preserve"> </w:t>
      </w:r>
    </w:p>
    <w:p>
      <w:pPr>
        <w:pStyle w:val="normal"/>
        <w:spacing w:before="0" w:after="5" w:line="247" w:lineRule="auto"/>
        <w:ind w:left="1081" w:right="598"/>
      </w:pPr>
      <w:r>
        <w:rPr/>
        <w:t xml:space="preserve">Le Fonds National pour le Climat est un mécanisme qui permettra au Burkina Faso de gérer ses engagements vis</w:t>
      </w:r>
      <w:r>
        <w:rPr/>
        <w:t xml:space="preserve">-</w:t>
      </w:r>
      <w:r>
        <w:rPr/>
        <w:t xml:space="preserve">à</w:t>
      </w:r>
      <w:r>
        <w:rPr/>
        <w:t xml:space="preserve">-</w:t>
      </w:r>
      <w:r>
        <w:rPr/>
        <w:t xml:space="preserve">vis  de la Finance Climat en facilitant la collecte, la combinaison</w:t>
      </w:r>
      <w:r>
        <w:rPr/>
        <w:t xml:space="preserve"> </w:t>
      </w:r>
      <w:r>
        <w:rPr/>
        <w:t xml:space="preserve">des sources de financement, la coordination </w:t>
      </w:r>
      <w:r>
        <w:rPr/>
        <w:t xml:space="preserve"> </w:t>
      </w:r>
      <w:r>
        <w:rPr/>
        <w:t xml:space="preserve">et le compte</w:t>
      </w:r>
      <w:r>
        <w:rPr/>
        <w:t xml:space="preserve">-</w:t>
      </w:r>
      <w:r>
        <w:rPr/>
        <w:t xml:space="preserve">rendu. Le FNC offre notamment un système propre au pays pour l'établissement d‟objectifs sur les changements climatiques</w:t>
      </w:r>
      <w:r>
        <w:rPr/>
        <w:t xml:space="preserve">,</w:t>
      </w:r>
      <w:r>
        <w:rPr/>
        <w:t xml:space="preserve"> </w:t>
      </w:r>
      <w:r>
        <w:rPr/>
        <w:t xml:space="preserve">la programmation stratégique, la supervision de l'approbation de projets relatifs aux changements climatiques, l‟évaluation des performances des projets, le contrôle de la conformité aux</w:t>
      </w:r>
      <w:r>
        <w:rPr/>
        <w:t xml:space="preserve"> </w:t>
      </w:r>
      <w:r>
        <w:rPr/>
        <w:t xml:space="preserve">politiques nationales</w:t>
      </w:r>
      <w:r>
        <w:rPr/>
        <w:t xml:space="preserve">,</w:t>
      </w:r>
      <w:r>
        <w:rPr/>
        <w:t xml:space="preserve"> </w:t>
      </w:r>
      <w:r>
        <w:rPr/>
        <w:t xml:space="preserve">le</w:t>
      </w:r>
      <w:r>
        <w:rPr/>
        <w:t xml:space="preserve"> </w:t>
      </w:r>
      <w:r>
        <w:rPr/>
        <w:t xml:space="preserve">contrôle financier sur les fonds reçus et l‟appui à la</w:t>
      </w:r>
      <w:r>
        <w:rPr/>
        <w:t xml:space="preserve"> </w:t>
      </w:r>
      <w:r>
        <w:rPr/>
        <w:t xml:space="preserve">gestion des</w:t>
      </w:r>
      <w:r>
        <w:rPr/>
        <w:t xml:space="preserve"> </w:t>
      </w:r>
      <w:r>
        <w:rPr/>
        <w:t xml:space="preserve">partenariats</w:t>
      </w:r>
      <w:r>
        <w:rPr/>
        <w:t xml:space="preserve">.  </w:t>
      </w:r>
      <w:r>
        <w:rPr/>
        <w:t xml:space="preserve">Les appuis du présent projet permettront notamment aux acteurs nationaux de définir les objectifs stratégiques du fonds, convenir des sources de financement du fonds, établir le système de gouvernance qui optimise les performances du fonds, définir les modalités de gestion fiduciaire conformes aux multiples exigences, définir les modalités de mise en œuvre et établir un système adéquat de suivi</w:t>
      </w:r>
      <w:r>
        <w:rPr/>
        <w:t xml:space="preserve"/>
      </w:r>
      <w:r>
        <w:rPr/>
        <w:t xml:space="preserve">rapportage</w:t>
      </w:r>
      <w:r>
        <w:rPr/>
        <w:t xml:space="preserve">-</w:t>
      </w:r>
      <w:r>
        <w:rPr/>
        <w:t xml:space="preserve">vérification.</w:t>
      </w:r>
      <w:r>
        <w:rPr>
          <w:sz w:val="24"/>
        </w:rPr>
        <w:t xml:space="preserve"> </w:t>
      </w:r>
    </w:p>
    <w:p>
      <w:pPr>
        <w:spacing w:before="0" w:after="0" w:line="259" w:lineRule="auto"/>
        <w:ind w:left="1071" w:firstLine="0"/>
        <w:jc w:val="left"/>
      </w:pPr>
      <w:r>
        <w:rPr/>
        <w:t xml:space="preserve"> </w:t>
      </w:r>
    </w:p>
    <w:p>
      <w:pPr>
        <w:pStyle w:val="normal"/>
        <w:numPr>
          <w:ilvl w:val="0"/>
          <w:numId w:val="18"/>
        </w:numPr>
        <w:spacing w:before="0" w:after="5" w:line="247" w:lineRule="auto"/>
        <w:ind w:left="1056" w:right="598" w:hanging="360"/>
      </w:pPr>
      <w:r>
        <w:rPr>
          <w:rFonts w:cs="Times New Roman" w:hAnsi="Times New Roman" w:eastAsia="Times New Roman" w:ascii="Times New Roman"/>
          <w:b w:val="1"/>
        </w:rPr>
        <w:t xml:space="preserve">Adaptation des mécanismes de financement du développement local</w:t>
      </w:r>
      <w:r>
        <w:rPr>
          <w:rFonts w:cs="Times New Roman" w:hAnsi="Times New Roman" w:eastAsia="Times New Roman" w:ascii="Times New Roman"/>
          <w:b w:val="1"/>
        </w:rPr>
        <w:t xml:space="preserve">.</w:t>
      </w:r>
      <w:r>
        <w:rPr/>
        <w:t xml:space="preserve"> </w:t>
      </w:r>
      <w:r>
        <w:rPr/>
        <w:t xml:space="preserve">Le</w:t>
      </w:r>
      <w:r>
        <w:rPr/>
        <w:t xml:space="preserve"> </w:t>
      </w:r>
      <w:r>
        <w:rPr/>
        <w:t xml:space="preserve">nouveau  paysage du</w:t>
      </w:r>
      <w:r>
        <w:rPr/>
        <w:t xml:space="preserve"> </w:t>
      </w:r>
      <w:r>
        <w:rPr/>
        <w:t xml:space="preserve">financement des changements climatiques offre des opportunités d‟accès direct que le Burkina Faso s‟est engagé à</w:t>
      </w:r>
      <w:r>
        <w:rPr/>
        <w:t xml:space="preserve"> </w:t>
      </w:r>
      <w:r>
        <w:rPr/>
        <w:t xml:space="preserve">saisir. </w:t>
      </w:r>
      <w:r>
        <w:rPr/>
        <w:t xml:space="preserve"> </w:t>
      </w:r>
      <w:r>
        <w:rPr/>
        <w:t xml:space="preserve">Le</w:t>
      </w:r>
      <w:r>
        <w:rPr/>
        <w:t xml:space="preserve"> </w:t>
      </w:r>
      <w:r>
        <w:rPr/>
        <w:t xml:space="preserve">projet contribuera</w:t>
      </w:r>
      <w:r>
        <w:rPr/>
        <w:t xml:space="preserve"> </w:t>
      </w:r>
      <w:r>
        <w:rPr/>
        <w:t xml:space="preserve">à</w:t>
      </w:r>
      <w:r>
        <w:rPr/>
        <w:t xml:space="preserve"> </w:t>
      </w:r>
      <w:r>
        <w:rPr/>
        <w:t xml:space="preserve">l‟adaptation des mécanismes de financement du développement local</w:t>
      </w:r>
      <w:r>
        <w:rPr/>
        <w:t xml:space="preserve"> </w:t>
      </w:r>
      <w:r>
        <w:rPr/>
        <w:t xml:space="preserve">pour tenir compte des résultats d‟analyse de la vulnérabilité, des options d‟adaptation et d‟atténuation pour les territoires d‟intervention.</w:t>
      </w:r>
      <w:r>
        <w:rPr/>
        <w:t xml:space="preserve"> </w:t>
      </w:r>
      <w:r>
        <w:rPr/>
        <w:t xml:space="preserve">Le projet fournira des inputs pour adapter notamment le</w:t>
      </w:r>
      <w:r>
        <w:rPr/>
        <w:t xml:space="preserve"> </w:t>
      </w:r>
      <w:r>
        <w:rPr/>
        <w:t xml:space="preserve">Fond Permanent de Développement des Collectivités Territoriales</w:t>
      </w:r>
      <w:r>
        <w:rPr/>
        <w:t xml:space="preserve"> </w:t>
      </w:r>
      <w:r>
        <w:rPr/>
        <w:t xml:space="preserve">aux exigences d‟accroissement de la résilience aux changements climatiques</w:t>
      </w:r>
      <w:r>
        <w:rPr/>
        <w:t xml:space="preserve">. </w:t>
      </w:r>
      <w:r>
        <w:rPr/>
        <w:t xml:space="preserve">Les activités viseront aussi à faciliter la prise en compte des exigences de financement des plans et projets locaux</w:t>
      </w:r>
      <w:r>
        <w:rPr/>
        <w:t xml:space="preserve"> </w:t>
      </w:r>
      <w:r>
        <w:rPr/>
        <w:t xml:space="preserve">par les mécanismes nationaux de financement de l‟adaptation et de l‟atténuation</w:t>
      </w:r>
      <w:r>
        <w:rPr/>
        <w:t xml:space="preserve"> </w:t>
      </w:r>
      <w:r>
        <w:rPr/>
        <w:t xml:space="preserve">et l‟appui aux réformes de la fiscalité locale pour améliorer la gestion de l‟environnement.</w:t>
      </w:r>
      <w:r>
        <w:rPr/>
        <w:t xml:space="preserve"> </w:t>
      </w:r>
      <w:r>
        <w:rPr/>
        <w:t xml:space="preserve">Le projet appuiera l‟identification de mécanismes pour assurer l‟accès des collectivités territoriales aux ressources mobilisées par le pays à travers les instruments globaux de financement du Climat (Fonds précoces, Fonds Adaptation, Fonds Vert pour le Climat, etc.). Dans l‟adaptation des mécanismes de financement, une attention particulière sera portée à l‟accès des femmes au financement notamment à travers les critères d‟éligibilité, le choix des activités cibles et la composition des organes de gestion des instruments financiers publics.</w:t>
      </w:r>
      <w:r>
        <w:rPr/>
        <w:t xml:space="preserve"> </w:t>
      </w:r>
    </w:p>
    <w:p>
      <w:pPr>
        <w:spacing w:before="0" w:after="0" w:line="259" w:lineRule="auto"/>
        <w:ind w:left="1071" w:firstLine="0"/>
        <w:jc w:val="left"/>
      </w:pPr>
      <w:r>
        <w:rPr/>
        <w:t xml:space="preserve"> </w:t>
      </w:r>
    </w:p>
    <w:p>
      <w:pPr>
        <w:pStyle w:val="normal"/>
        <w:numPr>
          <w:ilvl w:val="0"/>
          <w:numId w:val="18"/>
        </w:numPr>
        <w:spacing w:before="0" w:after="5" w:line="247" w:lineRule="auto"/>
        <w:ind w:left="1056" w:right="598" w:hanging="360"/>
      </w:pPr>
      <w:r>
        <w:rPr>
          <w:rFonts w:cs="Times New Roman" w:hAnsi="Times New Roman" w:eastAsia="Times New Roman" w:ascii="Times New Roman"/>
          <w:b w:val="1"/>
        </w:rPr>
        <w:t xml:space="preserve">Renforcement des capacités institutionnelles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de mobilisation et de gestion des ressources financières</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t xml:space="preserve">Le projet investira dans une stratégie de renforcement des capacités des élus locaux, des staff techniques des Conseils Régionaux et des mairies</w:t>
      </w:r>
      <w:r>
        <w:rPr/>
        <w:t xml:space="preserve"> </w:t>
      </w:r>
      <w:r>
        <w:rPr/>
        <w:t xml:space="preserve">afin de les rendre capables</w:t>
      </w:r>
      <w:r>
        <w:rPr/>
        <w:t xml:space="preserve"> </w:t>
      </w:r>
      <w:r>
        <w:rPr/>
        <w:t xml:space="preserve">de valoriser les</w:t>
      </w:r>
      <w:r>
        <w:rPr/>
        <w:t xml:space="preserve"> </w:t>
      </w:r>
      <w:r>
        <w:rPr/>
        <w:t xml:space="preserve">opportunités</w:t>
      </w:r>
      <w:r>
        <w:rPr/>
        <w:t xml:space="preserve"> </w:t>
      </w:r>
      <w:r>
        <w:rPr/>
        <w:t xml:space="preserve">de financement qui existent</w:t>
      </w:r>
      <w:r>
        <w:rPr/>
        <w:t xml:space="preserve">. </w:t>
      </w:r>
      <w:r>
        <w:rPr/>
        <w:t xml:space="preserve">Il s‟agit notamment de contribuer à</w:t>
      </w:r>
      <w:r>
        <w:rPr/>
        <w:t xml:space="preserve"> </w:t>
      </w:r>
      <w:r>
        <w:rPr/>
        <w:t xml:space="preserve">la mise en place ou au développement de mécanismes de coordination</w:t>
      </w:r>
      <w:r>
        <w:rPr/>
        <w:t xml:space="preserve"> </w:t>
      </w:r>
      <w:r>
        <w:rPr/>
        <w:t xml:space="preserve">et de financement d</w:t>
      </w:r>
      <w:r>
        <w:rPr/>
        <w:t xml:space="preserve">‟</w:t>
      </w:r>
      <w:r>
        <w:rPr/>
        <w:t xml:space="preserve">un</w:t>
      </w:r>
      <w:r>
        <w:rPr/>
        <w:t xml:space="preserve"> </w:t>
      </w:r>
      <w:r>
        <w:rPr/>
        <w:t xml:space="preserve">développement local</w:t>
      </w:r>
      <w:r>
        <w:rPr/>
        <w:t xml:space="preserve"> </w:t>
      </w:r>
      <w:r>
        <w:rPr/>
        <w:t xml:space="preserve">qui prend en compte la durabilité environnementale. Les actions du projet porteront en outre sur</w:t>
      </w:r>
      <w:r>
        <w:rPr/>
        <w:t xml:space="preserve"> </w:t>
      </w:r>
      <w:r>
        <w:rPr/>
        <w:t xml:space="preserve">l‟élaboration et la mise en œuvre d‟une stratégie de mobilisation de financement</w:t>
      </w:r>
      <w:r>
        <w:rPr/>
        <w:t xml:space="preserve">, </w:t>
      </w:r>
      <w:r>
        <w:rPr/>
        <w:t xml:space="preserve">les capacités de gestion, de rapportage et de contrôle interne</w:t>
      </w:r>
      <w:r>
        <w:rPr/>
        <w:t xml:space="preserve"> </w:t>
      </w:r>
      <w:r>
        <w:rPr/>
        <w:t xml:space="preserve">pour satisfaire les exigences des mécanismes de financement</w:t>
      </w:r>
      <w:r>
        <w:rPr/>
        <w:t xml:space="preserve"> </w:t>
      </w:r>
      <w:r>
        <w:rPr/>
        <w:t xml:space="preserve">existant</w:t>
      </w:r>
      <w:r>
        <w:rPr/>
        <w:t xml:space="preserve">.  </w:t>
      </w:r>
      <w:r>
        <w:rPr/>
        <w:t xml:space="preserve"> </w:t>
      </w:r>
    </w:p>
    <w:p>
      <w:pPr>
        <w:spacing w:before="0" w:after="0" w:line="259" w:lineRule="auto"/>
        <w:ind w:left="1071" w:firstLine="0"/>
        <w:jc w:val="left"/>
      </w:pPr>
      <w:r>
        <w:rPr>
          <w:rFonts w:cs="Times New Roman" w:hAnsi="Times New Roman" w:eastAsia="Times New Roman" w:ascii="Times New Roman"/>
          <w:b w:val="1"/>
        </w:rPr>
        <w:t xml:space="preserve"> </w:t>
      </w:r>
    </w:p>
    <w:p>
      <w:pPr>
        <w:pStyle w:val="normal"/>
        <w:numPr>
          <w:ilvl w:val="0"/>
          <w:numId w:val="18"/>
        </w:numPr>
        <w:spacing w:before="0" w:after="5" w:line="247" w:lineRule="auto"/>
        <w:ind w:left="1056" w:right="598" w:hanging="360"/>
      </w:pPr>
      <w:r>
        <w:rPr>
          <w:rFonts w:cs="Times New Roman" w:hAnsi="Times New Roman" w:eastAsia="Times New Roman" w:ascii="Times New Roman"/>
          <w:b w:val="1"/>
        </w:rPr>
        <w:t xml:space="preserve">Appui à l’élaboration de projets</w:t>
      </w:r>
      <w:r>
        <w:rPr>
          <w:rFonts w:cs="Times New Roman" w:hAnsi="Times New Roman" w:eastAsia="Times New Roman" w:ascii="Times New Roman"/>
          <w:b w:val="1"/>
        </w:rPr>
        <w:t xml:space="preserve">. </w:t>
      </w:r>
      <w:r>
        <w:rPr/>
        <w:t xml:space="preserve">Des appuis</w:t>
      </w:r>
      <w:r>
        <w:rPr/>
        <w:t xml:space="preserve">-</w:t>
      </w:r>
      <w:r>
        <w:rPr/>
        <w:t xml:space="preserve">conseils</w:t>
      </w:r>
      <w:r>
        <w:rPr/>
        <w:t xml:space="preserve"> </w:t>
      </w:r>
      <w:r>
        <w:rPr/>
        <w:t xml:space="preserve">seront fournis pour</w:t>
      </w:r>
      <w:r>
        <w:rPr/>
        <w:t xml:space="preserve"> </w:t>
      </w:r>
      <w:r>
        <w:rPr/>
        <w:t xml:space="preserve">l‟établissement de partenariats entre les collectivités et d‟autres intervenants comme les sociétés minières, les sociétés cotonnières et la coopération décentralisée. Des soutiens</w:t>
      </w:r>
      <w:r>
        <w:rPr/>
        <w:t xml:space="preserve"> </w:t>
      </w:r>
      <w:r>
        <w:rPr/>
        <w:t xml:space="preserve">seront fournis aux collectivités territoriales et aux communautés pour élaborer et mettre en œuvre des projets basés sur l‟approche territoriale du climat</w:t>
      </w:r>
      <w:r>
        <w:rPr/>
        <w:t xml:space="preserve">.</w:t>
      </w:r>
      <w:r>
        <w:rPr/>
        <w:t xml:space="preserve"> </w:t>
      </w:r>
      <w:r>
        <w:rPr/>
        <w:t xml:space="preserve">Une attention particulière sera portée sur l‟identification de projets qui </w:t>
      </w:r>
      <w:r>
        <w:rPr/>
        <w:t xml:space="preserve">renforcent de façon déterminante les capacités d‟adaptation des femmes et des jeunes aux changements climatiques.</w:t>
      </w:r>
      <w:r>
        <w:rPr>
          <w:rFonts w:cs="Times New Roman" w:hAnsi="Times New Roman" w:eastAsia="Times New Roman" w:ascii="Times New Roman"/>
          <w:b w:val="1"/>
        </w:rPr>
        <w:t xml:space="preserve"> </w:t>
      </w:r>
    </w:p>
    <w:p>
      <w:pPr>
        <w:spacing w:before="0" w:after="23" w:line="259" w:lineRule="auto"/>
        <w:ind w:left="1071" w:firstLine="0"/>
        <w:jc w:val="left"/>
      </w:pPr>
      <w:r>
        <w:rPr>
          <w:rFonts w:cs="Times New Roman" w:hAnsi="Times New Roman" w:eastAsia="Times New Roman" w:ascii="Times New Roman"/>
          <w:b w:val="1"/>
        </w:rPr>
        <w:t xml:space="preserve"> </w:t>
      </w:r>
    </w:p>
    <w:p>
      <w:pPr>
        <w:pStyle w:val="heading4"/>
        <w:spacing w:before="0" w:after="15" w:line="248" w:lineRule="auto"/>
        <w:ind w:left="706"/>
      </w:pPr>
      <w:r>
        <w:rPr>
          <w:u w:val="none" w:color="000000"/>
        </w:rPr>
        <w:t xml:space="preserve">17.</w:t>
      </w:r>
      <w:r>
        <w:rPr>
          <w:rFonts w:cs="Arial" w:hAnsi="Arial" w:eastAsia="Arial" w:ascii="Arial"/>
          <w:u w:val="none" w:color="000000"/>
        </w:rPr>
        <w:t xml:space="preserve"> </w:t>
      </w:r>
      <w:r>
        <w:rPr>
          <w:rFonts w:cs="Times New Roman" w:hAnsi="Times New Roman" w:eastAsia="Times New Roman" w:ascii="Times New Roman"/>
          <w:b w:val="1"/>
          <w:u w:val="none" w:color="000000"/>
        </w:rPr>
        <w:t xml:space="preserve">Appui à la mise en œuvre des plans locaux de développement et des projets</w:t>
      </w:r>
      <w:r>
        <w:rPr>
          <w:rFonts w:cs="Times New Roman" w:hAnsi="Times New Roman" w:eastAsia="Times New Roman" w:ascii="Times New Roman"/>
          <w:b w:val="1"/>
          <w:u w:val="none" w:color="000000"/>
        </w:rPr>
        <w:t xml:space="preserve"> </w:t>
      </w:r>
    </w:p>
    <w:p>
      <w:pPr>
        <w:spacing w:before="0" w:after="3" w:line="259" w:lineRule="auto"/>
        <w:ind w:left="720" w:firstLine="0"/>
        <w:jc w:val="left"/>
      </w:pPr>
      <w:r>
        <w:rPr>
          <w:rFonts w:cs="Times New Roman" w:hAnsi="Times New Roman" w:eastAsia="Times New Roman" w:ascii="Times New Roman"/>
          <w:b w:val="1"/>
        </w:rPr>
        <w:t xml:space="preserve"> </w:t>
      </w:r>
    </w:p>
    <w:p>
      <w:pPr>
        <w:pStyle w:val="normal"/>
        <w:spacing w:before="0" w:after="5" w:line="247" w:lineRule="auto"/>
        <w:ind w:left="1081" w:right="598"/>
      </w:pPr>
      <w:r>
        <w:rPr/>
        <w:t xml:space="preserve">Le projet fournira aux collectivités et aux communautés l‟appui</w:t>
      </w:r>
      <w:r>
        <w:rPr/>
        <w:t xml:space="preserve">-</w:t>
      </w:r>
      <w:r>
        <w:rPr/>
        <w:t xml:space="preserve">conseil nécessaire à la mobilisation des compétences, la programmation, la réalisation des actions et la mise en œuvre du suivi</w:t>
      </w:r>
      <w:r>
        <w:rPr/>
        <w:t xml:space="preserve">-</w:t>
      </w:r>
      <w:r>
        <w:rPr/>
        <w:t xml:space="preserve">évaluation pour la réalisation des plans locaux de développement</w:t>
      </w:r>
      <w:r>
        <w:rPr/>
        <w:t xml:space="preserve"> </w:t>
      </w:r>
      <w:r>
        <w:rPr/>
        <w:t xml:space="preserve">et des projets notamment pour les composantes relatives aux défis environnementaux. Le projet financera la mise en œuvre des</w:t>
      </w:r>
      <w:r>
        <w:rPr/>
        <w:t xml:space="preserve"> </w:t>
      </w:r>
      <w:r>
        <w:rPr/>
        <w:t xml:space="preserve">projets d‟adaptation et ou d‟atténuation des plans</w:t>
      </w:r>
      <w:r>
        <w:rPr/>
        <w:t xml:space="preserve"> </w:t>
      </w:r>
      <w:r>
        <w:rPr/>
        <w:t xml:space="preserve">régionaux</w:t>
      </w:r>
      <w:r>
        <w:rPr/>
        <w:t xml:space="preserve"> </w:t>
      </w:r>
      <w:r>
        <w:rPr/>
        <w:t xml:space="preserve">de développement et des plans communaux de développement des deux communes les plus vulnérables aux changements climatiques</w:t>
      </w:r>
      <w:r>
        <w:rPr/>
        <w:t xml:space="preserve"> </w:t>
      </w:r>
      <w:r>
        <w:rPr/>
        <w:t xml:space="preserve">dans chaque région</w:t>
      </w:r>
      <w:r>
        <w:rPr/>
        <w:t xml:space="preserve">.</w:t>
      </w:r>
      <w:r>
        <w:rPr/>
        <w:t xml:space="preserve"> </w:t>
      </w:r>
    </w:p>
    <w:p>
      <w:pPr>
        <w:spacing w:before="0" w:after="0" w:line="259" w:lineRule="auto"/>
        <w:ind w:left="720" w:firstLine="0"/>
        <w:jc w:val="left"/>
      </w:pPr>
      <w:r>
        <w:rPr>
          <w:rFonts w:cs="Times New Roman" w:hAnsi="Times New Roman" w:eastAsia="Times New Roman" w:ascii="Times New Roman"/>
          <w:b w:val="1"/>
        </w:rPr>
        <w:t xml:space="preserve"> </w:t>
      </w:r>
    </w:p>
    <w:p>
      <w:pPr>
        <w:pStyle w:val="normal"/>
        <w:spacing w:before="0" w:after="5" w:line="247" w:lineRule="auto"/>
        <w:ind w:left="1056" w:right="598" w:hanging="360"/>
      </w:pPr>
      <w:r>
        <w:rPr/>
        <w:t xml:space="preserve">18.</w:t>
      </w:r>
      <w:r>
        <w:rPr>
          <w:rFonts w:cs="Arial" w:hAnsi="Arial" w:eastAsia="Arial" w:ascii="Arial"/>
        </w:rPr>
        <w:t xml:space="preserve"> </w:t>
      </w:r>
      <w:r>
        <w:rPr>
          <w:rFonts w:cs="Times New Roman" w:hAnsi="Times New Roman" w:eastAsia="Times New Roman" w:ascii="Times New Roman"/>
          <w:b w:val="1"/>
        </w:rPr>
        <w:t xml:space="preserve">Appui aux initiatives de promotion de technologies appropriées. </w:t>
      </w:r>
      <w:r>
        <w:rPr/>
        <w:t xml:space="preserve">Les Plates Formes Multifonctionnelles installées dans les communes constituent des centres de promotion des services</w:t>
      </w:r>
      <w:r>
        <w:rPr/>
        <w:t xml:space="preserve"> </w:t>
      </w:r>
      <w:r>
        <w:rPr/>
        <w:t xml:space="preserve">énergétiques et des points d‟appui pour le renforcement des filières porteuses. Le projet soutiendra ces plates</w:t>
      </w:r>
      <w:r>
        <w:rPr/>
        <w:t xml:space="preserve">-</w:t>
      </w:r>
      <w:r>
        <w:rPr/>
        <w:t xml:space="preserve">formes dans le développement d‟énergies alternatives et d‟emplois verts.</w:t>
      </w:r>
      <w:r>
        <w:rPr>
          <w:rFonts w:cs="Times New Roman" w:hAnsi="Times New Roman" w:eastAsia="Times New Roman" w:ascii="Times New Roman"/>
          <w:b w:val="1"/>
        </w:rPr>
        <w:t xml:space="preserve"> </w:t>
      </w:r>
    </w:p>
    <w:p>
      <w:pPr>
        <w:pStyle w:val="normal"/>
        <w:spacing w:before="0" w:after="5" w:line="247" w:lineRule="auto"/>
        <w:ind w:left="1081" w:right="598"/>
      </w:pPr>
      <w:r>
        <w:rPr/>
        <w:t xml:space="preserve">En 2010 le FEM/ONG a formé à titre pilote six femmes rurales en Inde</w:t>
      </w:r>
      <w:r>
        <w:rPr/>
        <w:t xml:space="preserve"> </w:t>
      </w:r>
      <w:r>
        <w:rPr/>
        <w:t xml:space="preserve">pour la promotion de l‟accès de services énergétiques durables en milieu rural. Le projet soutiendra la réplication de cette expérience dans les communes où ce type d‟expertise locale peut catalyser la réalisation des objectifs de développement des énergies</w:t>
      </w:r>
      <w:r>
        <w:rPr/>
        <w:t xml:space="preserve"> </w:t>
      </w:r>
      <w:r>
        <w:rPr/>
        <w:t xml:space="preserve">alternatives et promotion d‟emplois.</w:t>
      </w:r>
      <w:r>
        <w:rPr/>
        <w:t xml:space="preserve"> </w:t>
      </w:r>
      <w:r>
        <w:rPr/>
        <w:t xml:space="preserve">Il contribuera à mobiliser des financements</w:t>
      </w:r>
      <w:r>
        <w:rPr/>
        <w:t xml:space="preserve"> </w:t>
      </w:r>
      <w:r>
        <w:rPr/>
        <w:t xml:space="preserve">pour</w:t>
      </w:r>
      <w:r>
        <w:rPr/>
        <w:t xml:space="preserve"> </w:t>
      </w:r>
      <w:r>
        <w:rPr/>
        <w:t xml:space="preserve">conduire des recherches Ŕaction sur l‟énergie alternative</w:t>
      </w:r>
      <w:r>
        <w:rPr/>
        <w:t xml:space="preserve">.</w:t>
      </w:r>
      <w:r>
        <w:rPr/>
        <w:t xml:space="preserve"> </w:t>
      </w:r>
    </w:p>
    <w:p>
      <w:pPr>
        <w:spacing w:before="0" w:after="0" w:line="259" w:lineRule="auto"/>
        <w:ind w:left="1071" w:firstLine="0"/>
        <w:jc w:val="left"/>
      </w:pPr>
      <w:r>
        <w:rPr/>
        <w:t xml:space="preserve"> </w:t>
      </w:r>
    </w:p>
    <w:p>
      <w:pPr>
        <w:spacing w:before="0" w:after="0" w:line="259" w:lineRule="auto"/>
        <w:ind w:left="0" w:firstLine="0"/>
        <w:jc w:val="left"/>
      </w:pPr>
      <w:r>
        <w:rPr>
          <w:sz w:val="16"/>
        </w:rPr>
        <w:t xml:space="preserve"> 	 </w:t>
      </w:r>
      <w:r>
        <w:br w:type="page"/>
      </w:r>
    </w:p>
    <w:p>
      <w:pPr>
        <w:spacing w:before="0" w:after="61" w:line="259" w:lineRule="auto"/>
        <w:ind w:left="1071" w:firstLine="0"/>
        <w:jc w:val="left"/>
      </w:pPr>
      <w:r>
        <w:rPr>
          <w:sz w:val="16"/>
        </w:rPr>
        <w:t xml:space="preserve"> </w:t>
      </w:r>
    </w:p>
    <w:p>
      <w:pPr>
        <w:pStyle w:val="heading3"/>
        <w:spacing w:before="0" w:after="10" w:line="249" w:lineRule="auto"/>
        <w:ind w:left="-5"/>
      </w:pPr>
      <w:r>
        <w:rPr/>
        <w:t xml:space="preserve">2.5. </w:t>
      </w:r>
      <w:r>
        <w:rPr/>
        <w:t xml:space="preserve">Stratégie de partenariat</w:t>
      </w:r>
      <w:r>
        <w:rPr/>
        <w:t xml:space="preserve"> </w:t>
      </w:r>
    </w:p>
    <w:p>
      <w:pPr>
        <w:spacing w:before="0" w:after="0" w:line="259" w:lineRule="auto"/>
        <w:ind w:left="720" w:firstLine="0"/>
        <w:jc w:val="left"/>
      </w:pPr>
      <w:r>
        <w:rPr/>
        <w:t xml:space="preserve"> </w:t>
      </w:r>
    </w:p>
    <w:p>
      <w:pPr>
        <w:pStyle w:val="normal"/>
        <w:numPr>
          <w:ilvl w:val="0"/>
          <w:numId w:val="19"/>
        </w:numPr>
        <w:spacing w:before="0" w:after="5" w:line="247" w:lineRule="auto"/>
        <w:ind w:left="1056" w:right="598" w:hanging="360"/>
      </w:pPr>
      <w:r>
        <w:rPr/>
        <w:t xml:space="preserve">Le PNUD/BF mettra à</w:t>
      </w:r>
      <w:r>
        <w:rPr/>
        <w:t xml:space="preserve"> </w:t>
      </w:r>
      <w:r>
        <w:rPr/>
        <w:t xml:space="preserve">la </w:t>
      </w:r>
      <w:r>
        <w:rPr/>
        <w:t xml:space="preserve"> </w:t>
      </w:r>
      <w:r>
        <w:rPr/>
        <w:t xml:space="preserve">disposition</w:t>
      </w:r>
      <w:r>
        <w:rPr/>
        <w:t xml:space="preserve"> </w:t>
      </w:r>
      <w:r>
        <w:rPr/>
        <w:t xml:space="preserve">du projet </w:t>
      </w:r>
      <w:r>
        <w:rPr/>
        <w:t xml:space="preserve"> </w:t>
      </w:r>
      <w:r>
        <w:rPr/>
        <w:t xml:space="preserve">des ressources sur fonds TRAC</w:t>
      </w:r>
      <w:r>
        <w:rPr/>
        <w:t xml:space="preserve"> </w:t>
      </w:r>
      <w:r>
        <w:rPr/>
        <w:t xml:space="preserve">(ressources propres du PNUD). Mais il</w:t>
      </w:r>
      <w:r>
        <w:rPr/>
        <w:t xml:space="preserve"> </w:t>
      </w:r>
      <w:r>
        <w:rPr/>
        <w:t xml:space="preserve">travaillera</w:t>
      </w:r>
      <w:r>
        <w:rPr/>
        <w:t xml:space="preserve"> </w:t>
      </w:r>
      <w:r>
        <w:rPr/>
        <w:t xml:space="preserve">en collaboration avec le Gouvernement </w:t>
      </w:r>
      <w:r>
        <w:rPr/>
        <w:t xml:space="preserve"> </w:t>
      </w:r>
      <w:r>
        <w:rPr/>
        <w:t xml:space="preserve">à mobiliser des ressources additionnelles auprès</w:t>
      </w:r>
      <w:r>
        <w:rPr/>
        <w:t xml:space="preserve"> </w:t>
      </w:r>
      <w:r>
        <w:rPr/>
        <w:t xml:space="preserve">d‟autres</w:t>
      </w:r>
      <w:r>
        <w:rPr/>
        <w:t xml:space="preserve"> </w:t>
      </w:r>
      <w:r>
        <w:rPr/>
        <w:t xml:space="preserve">partenaires. A ce titre la  coopération avec d‟autres partenaires techniques et financiers sera</w:t>
      </w:r>
      <w:r>
        <w:rPr/>
        <w:t xml:space="preserve"> </w:t>
      </w:r>
      <w:r>
        <w:rPr/>
        <w:t xml:space="preserve">explorée notamment avec l‟Union Européenne</w:t>
      </w:r>
      <w:r>
        <w:rPr/>
        <w:t xml:space="preserve">, </w:t>
      </w:r>
      <w:r>
        <w:rPr/>
        <w:t xml:space="preserve">la Coopération</w:t>
      </w:r>
      <w:r>
        <w:rPr/>
        <w:t xml:space="preserve"> </w:t>
      </w:r>
      <w:r>
        <w:rPr/>
        <w:t xml:space="preserve">Luxembourgeoise</w:t>
      </w:r>
      <w:r>
        <w:rPr/>
        <w:t xml:space="preserve"> </w:t>
      </w:r>
      <w:r>
        <w:rPr/>
        <w:t xml:space="preserve">et la Coopération Suisse. Les entreprises minières</w:t>
      </w:r>
      <w:r>
        <w:rPr/>
        <w:t xml:space="preserve">,</w:t>
      </w:r>
      <w:r>
        <w:rPr/>
        <w:t xml:space="preserve"> </w:t>
      </w:r>
      <w:r>
        <w:rPr/>
        <w:t xml:space="preserve">les compagnies</w:t>
      </w:r>
      <w:r>
        <w:rPr/>
        <w:t xml:space="preserve"> </w:t>
      </w:r>
      <w:r>
        <w:rPr/>
        <w:t xml:space="preserve">de distribution des hydrocarbures</w:t>
      </w:r>
      <w:r>
        <w:rPr/>
        <w:t xml:space="preserve"> </w:t>
      </w:r>
      <w:r>
        <w:rPr/>
        <w:t xml:space="preserve">et les sociétés cotonnières, dont les activités économiques ont des impacts</w:t>
      </w:r>
      <w:r>
        <w:rPr/>
        <w:t xml:space="preserve">  </w:t>
      </w:r>
      <w:r>
        <w:rPr/>
        <w:t xml:space="preserve">sur l‟environnement, pourront</w:t>
      </w:r>
      <w:r>
        <w:rPr/>
        <w:t xml:space="preserve"> </w:t>
      </w:r>
      <w:r>
        <w:rPr/>
        <w:t xml:space="preserve">être mis à contribution pour financer (ou cofinancer) à travers leurs fonds «</w:t>
      </w:r>
      <w:r>
        <w:rPr/>
        <w:t xml:space="preserve"> </w:t>
      </w:r>
      <w:r>
        <w:rPr/>
        <w:t xml:space="preserve">sociaux</w:t>
      </w:r>
      <w:r>
        <w:rPr/>
        <w:t xml:space="preserve"> »</w:t>
      </w:r>
      <w:r>
        <w:rPr/>
        <w:t xml:space="preserve">.</w:t>
      </w:r>
      <w:r>
        <w:rPr/>
        <w:t xml:space="preserve"> </w:t>
      </w:r>
    </w:p>
    <w:p>
      <w:pPr>
        <w:spacing w:before="0" w:after="0" w:line="259" w:lineRule="auto"/>
        <w:ind w:left="1071" w:firstLine="0"/>
        <w:jc w:val="left"/>
      </w:pPr>
      <w:r>
        <w:rPr/>
        <w:t xml:space="preserve"> </w:t>
      </w:r>
    </w:p>
    <w:p>
      <w:pPr>
        <w:pStyle w:val="normal"/>
        <w:numPr>
          <w:ilvl w:val="0"/>
          <w:numId w:val="19"/>
        </w:numPr>
        <w:spacing w:before="0" w:after="5" w:line="247" w:lineRule="auto"/>
        <w:ind w:left="1056" w:right="598" w:hanging="360"/>
      </w:pPr>
      <w:r>
        <w:rPr/>
        <w:t xml:space="preserve">Le tableau ci</w:t>
      </w:r>
      <w:r>
        <w:rPr/>
        <w:t xml:space="preserve">-</w:t>
      </w:r>
      <w:r>
        <w:rPr/>
        <w:t xml:space="preserve">dessous donne les plages de convergences</w:t>
      </w:r>
      <w:r>
        <w:rPr/>
        <w:t xml:space="preserve"> </w:t>
      </w:r>
      <w:r>
        <w:rPr/>
        <w:t xml:space="preserve">avec les autres sous</w:t>
      </w:r>
      <w:r>
        <w:rPr/>
        <w:t xml:space="preserve">-</w:t>
      </w:r>
      <w:r>
        <w:rPr/>
        <w:t xml:space="preserve">programmes du CPAP et les programmes des autres partenaires:</w:t>
      </w:r>
      <w:r>
        <w:rPr/>
        <w:t xml:space="preserve"> </w:t>
      </w:r>
    </w:p>
    <w:p>
      <w:pPr>
        <w:spacing w:before="0" w:after="0" w:line="259" w:lineRule="auto"/>
        <w:ind w:left="1071" w:firstLine="0"/>
        <w:jc w:val="left"/>
      </w:pPr>
      <w:r>
        <w:rPr/>
        <w:t xml:space="preserve"> </w:t>
      </w:r>
    </w:p>
    <w:tbl>
      <w:tblPr>
        <w:tblStyle w:val="TableGrid"/>
        <w:tblW w:w="9484" w:type="dxa"/>
        <w:tblInd w:w="134" w:type="dxa"/>
        <w:tblCellMar>
          <w:top w:w="7" w:type="dxa"/>
          <w:left w:w="108" w:type="dxa"/>
          <w:bottom w:w="0" w:type="dxa"/>
          <w:right w:w="70" w:type="dxa"/>
        </w:tblCellMar>
      </w:tblPr>
      <w:tblGrid>
        <w:gridCol w:w="2146"/>
        <w:gridCol w:w="7338"/>
      </w:tblGrid>
      <w:tr>
        <w:trPr>
          <w:trHeight w:val="230" w:hRule="atLeast"/>
        </w:trPr>
        <w:tc>
          <w:tcPr>
            <w:tcW w:w="214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Times New Roman" w:hAnsi="Times New Roman" w:eastAsia="Times New Roman" w:ascii="Times New Roman"/>
                <w:b w:val="1"/>
                <w:sz w:val="16"/>
              </w:rPr>
              <w:t xml:space="preserve">SOUS</w:t>
            </w:r>
            <w:r>
              <w:rPr>
                <w:rFonts w:cs="Times New Roman" w:hAnsi="Times New Roman" w:eastAsia="Times New Roman" w:ascii="Times New Roman"/>
                <w:b w:val="1"/>
                <w:sz w:val="16"/>
              </w:rPr>
              <w:t xml:space="preserve">-</w:t>
            </w:r>
            <w:r>
              <w:rPr>
                <w:rFonts w:cs="Times New Roman" w:hAnsi="Times New Roman" w:eastAsia="Times New Roman" w:ascii="Times New Roman"/>
                <w:b w:val="1"/>
                <w:sz w:val="16"/>
              </w:rPr>
              <w:t xml:space="preserve">PROGRAMME</w:t>
            </w:r>
            <w:r>
              <w:rPr>
                <w:rFonts w:cs="Times New Roman" w:hAnsi="Times New Roman" w:eastAsia="Times New Roman" w:ascii="Times New Roman"/>
                <w:b w:val="1"/>
                <w:sz w:val="16"/>
              </w:rPr>
              <w:t xml:space="preserve"> </w:t>
            </w:r>
          </w:p>
        </w:tc>
        <w:tc>
          <w:tcPr>
            <w:tcW w:w="7338" w:type="dxa"/>
            <w:tcBorders>
              <w:top w:val="single" w:sz="4" w:color="000000"/>
              <w:left w:val="single" w:sz="4" w:color="000000"/>
              <w:bottom w:val="single" w:sz="4" w:color="000000"/>
              <w:right w:val="single" w:sz="4" w:color="000000"/>
            </w:tcBorders>
            <w:vAlign w:val="top"/>
          </w:tcPr>
          <w:p>
            <w:pPr>
              <w:spacing w:before="0" w:after="0" w:line="259" w:lineRule="auto"/>
              <w:ind w:left="0" w:right="38" w:firstLine="0"/>
              <w:jc w:val="center"/>
            </w:pPr>
            <w:r>
              <w:rPr>
                <w:rFonts w:cs="Times New Roman" w:hAnsi="Times New Roman" w:eastAsia="Times New Roman" w:ascii="Times New Roman"/>
                <w:b w:val="1"/>
                <w:sz w:val="16"/>
              </w:rPr>
              <w:t xml:space="preserve">PLAGES DE CONVERGENCE</w:t>
            </w:r>
            <w:r>
              <w:rPr>
                <w:rFonts w:cs="Times New Roman" w:hAnsi="Times New Roman" w:eastAsia="Times New Roman" w:ascii="Times New Roman"/>
                <w:b w:val="1"/>
                <w:sz w:val="16"/>
              </w:rPr>
              <w:t xml:space="preserve"> </w:t>
            </w:r>
          </w:p>
        </w:tc>
      </w:tr>
      <w:tr>
        <w:trPr>
          <w:trHeight w:val="2770" w:hRule="atLeast"/>
        </w:trPr>
        <w:tc>
          <w:tcPr>
            <w:tcW w:w="214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Renforcement de la </w:t>
            </w:r>
          </w:p>
          <w:p>
            <w:pPr>
              <w:spacing w:before="0" w:after="0" w:line="259" w:lineRule="auto"/>
              <w:ind w:left="0" w:firstLine="0"/>
              <w:jc w:val="left"/>
            </w:pPr>
            <w:r>
              <w:rPr>
                <w:sz w:val="20"/>
              </w:rPr>
              <w:t xml:space="preserve">Gouvernance</w:t>
            </w:r>
            <w:r>
              <w:rPr>
                <w:sz w:val="20"/>
              </w:rPr>
              <w:t xml:space="preserve"> </w:t>
            </w:r>
            <w:r>
              <w:rPr>
                <w:sz w:val="20"/>
              </w:rPr>
              <w:t xml:space="preserve">du PNUD</w:t>
            </w:r>
            <w:r>
              <w:rPr>
                <w:sz w:val="20"/>
              </w:rPr>
              <w:t xml:space="preserve"> </w:t>
            </w:r>
          </w:p>
        </w:tc>
        <w:tc>
          <w:tcPr>
            <w:tcW w:w="7338" w:type="dxa"/>
            <w:tcBorders>
              <w:top w:val="single" w:sz="4" w:color="000000"/>
              <w:left w:val="single" w:sz="4" w:color="000000"/>
              <w:bottom w:val="single" w:sz="4" w:color="000000"/>
              <w:right w:val="single" w:sz="4" w:color="000000"/>
            </w:tcBorders>
            <w:vAlign w:val="top"/>
          </w:tcPr>
          <w:p>
            <w:pPr>
              <w:spacing w:before="0" w:after="0" w:line="254" w:lineRule="auto"/>
              <w:ind w:left="0" w:right="113" w:firstLine="0"/>
              <w:jc w:val="left"/>
            </w:pPr>
            <w:r>
              <w:rPr>
                <w:sz w:val="20"/>
              </w:rPr>
              <w:t xml:space="preserve">Le Programme Gouvernance assure le lead de l‟appui à l‟élaboration d‟outils de planification locale et à l‟élaboration des plans communaux de développement (PCD)</w:t>
            </w:r>
            <w:r>
              <w:rPr>
                <w:sz w:val="20"/>
              </w:rPr>
              <w:t xml:space="preserve"> </w:t>
            </w:r>
            <w:r>
              <w:rPr>
                <w:sz w:val="20"/>
              </w:rPr>
              <w:t xml:space="preserve">et le projet COGEL fournit les outils pour le mainstreaming de l‟environnement</w:t>
            </w:r>
            <w:r>
              <w:rPr>
                <w:sz w:val="20"/>
              </w:rPr>
              <w:t xml:space="preserve"> </w:t>
            </w:r>
            <w:r>
              <w:rPr>
                <w:sz w:val="20"/>
              </w:rPr>
              <w:t xml:space="preserve">et le renforcement des capacités des prestataires de services qui accompagnent l‟exercice</w:t>
            </w:r>
            <w:r>
              <w:rPr>
                <w:sz w:val="20"/>
              </w:rPr>
              <w:t xml:space="preserve"> </w:t>
            </w:r>
            <w:r>
              <w:rPr>
                <w:sz w:val="20"/>
              </w:rPr>
              <w:t xml:space="preserve">Le Programme Gouvernance assure le lead pour l‟appui au parachèvement du cadre juridique et financier de la décentralisation. Le projet COGEL appuiera la préparation des services techniques du MEDD pour contribuer efficacement sur la thématique du transfert de compétences de Gestion des Ressources Naturelles</w:t>
            </w:r>
            <w:r>
              <w:rPr>
                <w:sz w:val="20"/>
              </w:rPr>
              <w:t xml:space="preserve"> </w:t>
            </w:r>
          </w:p>
          <w:p>
            <w:pPr>
              <w:spacing w:before="0" w:after="1" w:line="238" w:lineRule="auto"/>
              <w:ind w:left="0" w:right="44" w:firstLine="0"/>
              <w:jc w:val="left"/>
            </w:pPr>
            <w:r>
              <w:rPr>
                <w:sz w:val="20"/>
              </w:rPr>
              <w:t xml:space="preserve">Dans les régions où le Programme Gouvernance met</w:t>
            </w:r>
            <w:r>
              <w:rPr>
                <w:sz w:val="20"/>
              </w:rPr>
              <w:t xml:space="preserve"> </w:t>
            </w:r>
            <w:r>
              <w:rPr>
                <w:sz w:val="20"/>
              </w:rPr>
              <w:t xml:space="preserve">à disposition des</w:t>
            </w:r>
            <w:r>
              <w:rPr>
                <w:sz w:val="20"/>
              </w:rPr>
              <w:t xml:space="preserve"> </w:t>
            </w:r>
            <w:r>
              <w:rPr>
                <w:sz w:val="20"/>
              </w:rPr>
              <w:t xml:space="preserve">régions du</w:t>
            </w:r>
            <w:r>
              <w:rPr>
                <w:sz w:val="20"/>
              </w:rPr>
              <w:t xml:space="preserve"> </w:t>
            </w:r>
            <w:r>
              <w:rPr>
                <w:sz w:val="20"/>
              </w:rPr>
              <w:t xml:space="preserve">personnel cadre le PROJET COGEL contribuera au renforcement de leurs capacités pour la prise en compte des défis environnementaux.</w:t>
            </w:r>
            <w:r>
              <w:rPr>
                <w:sz w:val="20"/>
              </w:rPr>
              <w:t xml:space="preserve"> </w:t>
            </w:r>
          </w:p>
          <w:p>
            <w:pPr>
              <w:spacing w:before="0" w:after="0" w:line="259" w:lineRule="auto"/>
              <w:ind w:left="0" w:firstLine="0"/>
              <w:jc w:val="left"/>
            </w:pPr>
            <w:r>
              <w:rPr>
                <w:sz w:val="20"/>
              </w:rPr>
              <w:t xml:space="preserve"> </w:t>
            </w:r>
          </w:p>
        </w:tc>
      </w:tr>
      <w:tr>
        <w:trPr>
          <w:trHeight w:val="929" w:hRule="atLeast"/>
        </w:trPr>
        <w:tc>
          <w:tcPr>
            <w:tcW w:w="214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Revenus et emplois </w:t>
            </w:r>
            <w:r>
              <w:rPr>
                <w:sz w:val="20"/>
              </w:rPr>
              <w:t xml:space="preserve"> </w:t>
            </w:r>
            <w:r>
              <w:rPr>
                <w:sz w:val="20"/>
              </w:rPr>
              <w:t xml:space="preserve">décents</w:t>
            </w:r>
            <w:r>
              <w:rPr>
                <w:sz w:val="20"/>
              </w:rPr>
              <w:t xml:space="preserve"> </w:t>
            </w:r>
            <w:r>
              <w:rPr>
                <w:sz w:val="20"/>
              </w:rPr>
              <w:t xml:space="preserve">du PNUD</w:t>
            </w:r>
            <w:r>
              <w:rPr>
                <w:sz w:val="20"/>
              </w:rPr>
              <w:t xml:space="preserve"> </w:t>
            </w:r>
          </w:p>
        </w:tc>
        <w:tc>
          <w:tcPr>
            <w:tcW w:w="733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Le projet COGEL prend le lead</w:t>
            </w:r>
            <w:r>
              <w:rPr>
                <w:sz w:val="20"/>
              </w:rPr>
              <w:t xml:space="preserve"> </w:t>
            </w:r>
            <w:r>
              <w:rPr>
                <w:sz w:val="20"/>
              </w:rPr>
              <w:t xml:space="preserve">pour l‟appui aux initiatives de valorisation de la biodiversité par les communautés riveraines des aires protégées</w:t>
            </w:r>
            <w:r>
              <w:rPr>
                <w:sz w:val="20"/>
              </w:rPr>
              <w:t xml:space="preserve"> </w:t>
            </w:r>
            <w:r>
              <w:rPr>
                <w:sz w:val="20"/>
              </w:rPr>
              <w:t xml:space="preserve">et aux initiatives de promotion d‟emplois verts</w:t>
            </w:r>
            <w:r>
              <w:rPr>
                <w:sz w:val="20"/>
              </w:rPr>
              <w:t xml:space="preserve"> </w:t>
            </w:r>
            <w:r>
              <w:rPr>
                <w:sz w:val="20"/>
              </w:rPr>
              <w:t xml:space="preserve">et à la finance carbone. Le sous</w:t>
            </w:r>
            <w:r>
              <w:rPr>
                <w:sz w:val="20"/>
              </w:rPr>
              <w:t xml:space="preserve">-</w:t>
            </w:r>
            <w:r>
              <w:rPr>
                <w:sz w:val="20"/>
              </w:rPr>
              <w:t xml:space="preserve">programme revenus et emplois assure l‟organisation des acteurs au sein des filières et l‟accès au marché.</w:t>
            </w:r>
            <w:r>
              <w:rPr>
                <w:sz w:val="20"/>
              </w:rPr>
              <w:t xml:space="preserve"> </w:t>
            </w:r>
          </w:p>
        </w:tc>
      </w:tr>
      <w:tr>
        <w:trPr>
          <w:trHeight w:val="701" w:hRule="atLeast"/>
        </w:trPr>
        <w:tc>
          <w:tcPr>
            <w:tcW w:w="2146" w:type="dxa"/>
            <w:tcBorders>
              <w:top w:val="single" w:sz="4" w:color="000000"/>
              <w:left w:val="single" w:sz="4" w:color="000000"/>
              <w:bottom w:val="single" w:sz="4" w:color="000000"/>
              <w:right w:val="single" w:sz="4" w:color="000000"/>
            </w:tcBorders>
            <w:vAlign w:val="top"/>
          </w:tcPr>
          <w:p>
            <w:pPr>
              <w:spacing w:before="0" w:after="0" w:line="259" w:lineRule="auto"/>
              <w:ind w:left="0" w:right="280" w:firstLine="0"/>
            </w:pPr>
            <w:r>
              <w:rPr>
                <w:sz w:val="20"/>
              </w:rPr>
              <w:t xml:space="preserve">Prévention et gestion des crises et des catastrophes</w:t>
            </w:r>
            <w:r>
              <w:rPr>
                <w:sz w:val="20"/>
              </w:rPr>
              <w:t xml:space="preserve"> </w:t>
            </w:r>
            <w:r>
              <w:rPr>
                <w:sz w:val="20"/>
              </w:rPr>
              <w:t xml:space="preserve">du SNU</w:t>
            </w:r>
            <w:r>
              <w:rPr>
                <w:sz w:val="20"/>
              </w:rPr>
              <w:t xml:space="preserve"> </w:t>
            </w:r>
          </w:p>
        </w:tc>
        <w:tc>
          <w:tcPr>
            <w:tcW w:w="733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Le projet COGEL sollicite les compétences du sous</w:t>
            </w:r>
            <w:r>
              <w:rPr>
                <w:sz w:val="20"/>
              </w:rPr>
              <w:t xml:space="preserve">-</w:t>
            </w:r>
            <w:r>
              <w:rPr>
                <w:sz w:val="20"/>
              </w:rPr>
              <w:t xml:space="preserve">programme PGCC pour assurer le mainstreaming</w:t>
            </w:r>
            <w:r>
              <w:rPr>
                <w:sz w:val="20"/>
              </w:rPr>
              <w:t xml:space="preserve"> </w:t>
            </w:r>
            <w:r>
              <w:rPr>
                <w:sz w:val="20"/>
              </w:rPr>
              <w:t xml:space="preserve">de la gestion des risques climatiques dans la planification locale</w:t>
            </w:r>
            <w:r>
              <w:rPr>
                <w:sz w:val="20"/>
              </w:rPr>
              <w:t xml:space="preserve"> </w:t>
            </w:r>
            <w:r>
              <w:rPr>
                <w:sz w:val="20"/>
              </w:rPr>
              <w:t xml:space="preserve">là ce sous</w:t>
            </w:r>
            <w:r>
              <w:rPr>
                <w:sz w:val="20"/>
              </w:rPr>
              <w:t xml:space="preserve">-</w:t>
            </w:r>
            <w:r>
              <w:rPr>
                <w:sz w:val="20"/>
              </w:rPr>
              <w:t xml:space="preserve">programme n‟intervient pas. </w:t>
            </w:r>
            <w:r>
              <w:rPr>
                <w:sz w:val="20"/>
              </w:rPr>
              <w:t xml:space="preserve"> </w:t>
            </w:r>
          </w:p>
        </w:tc>
      </w:tr>
      <w:tr>
        <w:trPr>
          <w:trHeight w:val="1159" w:hRule="atLeast"/>
        </w:trPr>
        <w:tc>
          <w:tcPr>
            <w:tcW w:w="214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Programmes de l‟Union Européenne</w:t>
            </w:r>
            <w:r>
              <w:rPr>
                <w:sz w:val="20"/>
              </w:rPr>
              <w:t xml:space="preserve"> </w:t>
            </w:r>
          </w:p>
        </w:tc>
        <w:tc>
          <w:tcPr>
            <w:tcW w:w="7338" w:type="dxa"/>
            <w:tcBorders>
              <w:top w:val="single" w:sz="4" w:color="000000"/>
              <w:left w:val="single" w:sz="4" w:color="000000"/>
              <w:bottom w:val="single" w:sz="4" w:color="000000"/>
              <w:right w:val="single" w:sz="4" w:color="000000"/>
            </w:tcBorders>
            <w:vAlign w:val="top"/>
          </w:tcPr>
          <w:p>
            <w:pPr>
              <w:spacing w:before="0" w:after="0" w:line="240" w:lineRule="auto"/>
              <w:ind w:left="0" w:right="124" w:firstLine="0"/>
              <w:jc w:val="left"/>
            </w:pPr>
            <w:r>
              <w:rPr>
                <w:sz w:val="20"/>
              </w:rPr>
              <w:t xml:space="preserve">Mise en place des conditions de base de l‟Economie Verte au niveau régionale</w:t>
            </w:r>
            <w:r>
              <w:rPr>
                <w:sz w:val="20"/>
              </w:rPr>
              <w:t xml:space="preserve"> </w:t>
            </w:r>
            <w:r>
              <w:rPr>
                <w:sz w:val="20"/>
              </w:rPr>
              <w:t xml:space="preserve">Reforme fiscale environnementale</w:t>
            </w:r>
            <w:r>
              <w:rPr>
                <w:sz w:val="20"/>
              </w:rPr>
              <w:t xml:space="preserve"> </w:t>
            </w:r>
          </w:p>
          <w:p>
            <w:pPr>
              <w:spacing w:before="0" w:after="0" w:line="240" w:lineRule="auto"/>
              <w:ind w:left="0" w:firstLine="0"/>
              <w:jc w:val="left"/>
            </w:pPr>
            <w:r>
              <w:rPr>
                <w:sz w:val="20"/>
              </w:rPr>
              <w:t xml:space="preserve">Changements Climatiques et Nutrition dans les communes où les déficits céréaliers sont récurrents</w:t>
            </w:r>
            <w:r>
              <w:rPr>
                <w:sz w:val="20"/>
              </w:rPr>
              <w:t xml:space="preserve"> </w:t>
            </w:r>
          </w:p>
          <w:p>
            <w:pPr>
              <w:spacing w:before="0" w:after="0" w:line="259" w:lineRule="auto"/>
              <w:ind w:left="0" w:firstLine="0"/>
              <w:jc w:val="left"/>
            </w:pPr>
            <w:r>
              <w:rPr>
                <w:sz w:val="20"/>
              </w:rPr>
              <w:t xml:space="preserve"> </w:t>
            </w:r>
          </w:p>
        </w:tc>
      </w:tr>
    </w:tbl>
    <w:p>
      <w:pPr>
        <w:spacing w:before="0" w:after="0" w:line="259" w:lineRule="auto"/>
        <w:ind w:left="0" w:firstLine="0"/>
        <w:jc w:val="left"/>
      </w:pPr>
      <w:r>
        <w:rPr/>
        <w:t xml:space="preserve"> </w:t>
      </w:r>
    </w:p>
    <w:p>
      <w:pPr>
        <w:spacing w:before="0" w:after="0" w:line="259" w:lineRule="auto"/>
        <w:ind w:left="0" w:firstLine="0"/>
        <w:jc w:val="left"/>
      </w:pPr>
      <w:r>
        <w:rPr/>
        <w:t xml:space="preserve"> </w:t>
      </w:r>
    </w:p>
    <w:p>
      <w:pPr>
        <w:spacing w:before="0" w:after="0" w:line="259" w:lineRule="auto"/>
        <w:ind w:left="0" w:firstLine="0"/>
        <w:jc w:val="left"/>
      </w:pPr>
      <w:r>
        <w:rPr/>
        <w:t xml:space="preserve"> 	 </w:t>
      </w:r>
    </w:p>
    <w:p>
      <w:pPr>
        <w:spacing w:before="0" w:after="36" w:line="259" w:lineRule="auto"/>
        <w:ind w:left="0" w:firstLine="0"/>
        <w:jc w:val="left"/>
      </w:pPr>
      <w:r>
        <w:rPr/>
        <w:t xml:space="preserve"> </w:t>
      </w:r>
    </w:p>
    <w:p>
      <w:pPr>
        <w:pStyle w:val="heading2"/>
        <w:spacing w:before="0" w:after="13" w:line="248" w:lineRule="auto"/>
        <w:ind w:left="10"/>
      </w:pPr>
      <w:r>
        <w:rPr/>
        <w:t xml:space="preserve">SECTION III</w:t>
      </w:r>
      <w:r>
        <w:rPr/>
        <w:t xml:space="preserve"> </w:t>
      </w:r>
      <w:r>
        <w:rPr/>
        <w:t xml:space="preserve">: ARRANGEMENTS DE GESTION</w:t>
      </w:r>
      <w:r>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spacing w:before="0" w:after="0" w:line="259" w:lineRule="auto"/>
        <w:ind w:left="0" w:firstLine="0"/>
        <w:jc w:val="left"/>
      </w:pPr>
      <w:r>
        <w:rPr>
          <w:sz w:val="24"/>
        </w:rPr>
        <w:t xml:space="preserve"> </w:t>
      </w:r>
    </w:p>
    <w:p>
      <w:pPr>
        <w:pStyle w:val="heading3"/>
        <w:spacing w:before="0" w:after="10" w:line="249" w:lineRule="auto"/>
        <w:ind w:left="-5"/>
      </w:pPr>
      <w:r>
        <w:rPr/>
        <w:t xml:space="preserve">3.1</w:t>
      </w:r>
      <w:r>
        <w:rPr/>
        <w:t xml:space="preserve">. Modalités de mises</w:t>
      </w:r>
      <w:r>
        <w:rPr/>
        <w:t xml:space="preserve"> </w:t>
      </w:r>
      <w:r>
        <w:rPr/>
        <w:t xml:space="preserve">en œuvre</w:t>
      </w:r>
      <w:r>
        <w:rPr/>
        <w:t xml:space="preserve"> </w:t>
      </w:r>
    </w:p>
    <w:p>
      <w:pPr>
        <w:spacing w:before="0" w:after="1" w:line="259" w:lineRule="auto"/>
        <w:ind w:left="0" w:firstLine="0"/>
        <w:jc w:val="left"/>
      </w:pPr>
      <w:r>
        <w:rPr>
          <w:rFonts w:cs="Times New Roman" w:hAnsi="Times New Roman" w:eastAsia="Times New Roman" w:ascii="Times New Roman"/>
          <w:b w:val="1"/>
        </w:rPr>
        <w:t xml:space="preserve"> </w:t>
      </w:r>
    </w:p>
    <w:p>
      <w:pPr>
        <w:pStyle w:val="normal"/>
        <w:numPr>
          <w:ilvl w:val="0"/>
          <w:numId w:val="20"/>
        </w:numPr>
        <w:spacing w:before="0" w:after="5" w:line="247" w:lineRule="auto"/>
        <w:ind w:left="1056" w:right="598" w:hanging="360"/>
      </w:pPr>
      <w:r>
        <w:rPr/>
        <w:t xml:space="preserve">Le projet sera mise en œuvre selon la modalité d‟exécution nationale (NEX/NIM)</w:t>
      </w:r>
      <w:r>
        <w:rPr/>
        <w:t xml:space="preserve"> </w:t>
      </w:r>
      <w:r>
        <w:rPr/>
        <w:t xml:space="preserve">en tant que projet de la catégorie B conformément au décret n° 2007</w:t>
      </w:r>
      <w:r>
        <w:rPr/>
        <w:t xml:space="preserve">-</w:t>
      </w:r>
      <w:r>
        <w:rPr/>
        <w:t xml:space="preserve">775/PRES/PM/MEF portant réglementation générale des projets ou programmes de développement exécutés au Burkina Faso</w:t>
      </w:r>
      <w:r>
        <w:rPr/>
        <w:t xml:space="preserve">.</w:t>
      </w:r>
      <w:r>
        <w:rPr/>
        <w:t xml:space="preserve">  </w:t>
      </w:r>
      <w:r>
        <w:rPr/>
        <w:t xml:space="preserve">Le Ministère  de l‟Environnement et du Développement Durable sera</w:t>
      </w:r>
      <w:r>
        <w:rPr/>
        <w:t xml:space="preserve"> </w:t>
      </w:r>
      <w:r>
        <w:rPr/>
        <w:t xml:space="preserve">le partenaire de mise en œuvre du projet.</w:t>
      </w:r>
      <w:r>
        <w:rPr/>
        <w:t xml:space="preserve"> </w:t>
      </w:r>
      <w:r>
        <w:rPr/>
        <w:t xml:space="preserve">Il est à ce titre responsable devant l‟Autorité Gouvernementale de Coordination et devant le PNUD de la production des résultats escomptés, de la réalisation des objectifs du projet et de l‟utilisation des ressources.</w:t>
      </w:r>
      <w:r>
        <w:rPr/>
        <w:t xml:space="preserve"> </w:t>
      </w:r>
    </w:p>
    <w:p>
      <w:pPr>
        <w:pStyle w:val="normal"/>
        <w:numPr>
          <w:ilvl w:val="0"/>
          <w:numId w:val="20"/>
        </w:numPr>
        <w:spacing w:before="0" w:after="5" w:line="247" w:lineRule="auto"/>
        <w:ind w:left="1056" w:right="598" w:hanging="360"/>
      </w:pPr>
      <w:r>
        <w:rPr/>
        <w:t xml:space="preserve">Il travaillera en étroite collaboration avec les autres partenaires concernés par les activités programmés par le sous</w:t>
      </w:r>
      <w:r>
        <w:rPr/>
        <w:t xml:space="preserve">-</w:t>
      </w:r>
      <w:r>
        <w:rPr/>
        <w:t xml:space="preserve">programme. Le Secrétaire Permanent du CONEDD sera le Directeur National du  projet.</w:t>
      </w:r>
      <w:r>
        <w:rPr/>
        <w:t xml:space="preserve"> </w:t>
      </w:r>
      <w:r>
        <w:rPr/>
        <w:t xml:space="preserve">A ce titre il cosigne</w:t>
      </w:r>
      <w:r>
        <w:rPr/>
        <w:t xml:space="preserve"> </w:t>
      </w:r>
      <w:r>
        <w:rPr/>
        <w:t xml:space="preserve">avec l‟Ordonnateur National</w:t>
      </w:r>
      <w:r>
        <w:rPr/>
        <w:t xml:space="preserve"> </w:t>
      </w:r>
      <w:r>
        <w:rPr/>
        <w:t xml:space="preserve">les demandes d‟avance de fonds, les demandes de paiement direct, les demandes de remboursement et les FACE (Funding Authorization and Certificate of Expenditures).</w:t>
      </w:r>
      <w:r>
        <w:rPr/>
        <w:t xml:space="preserve"> </w:t>
      </w:r>
    </w:p>
    <w:p>
      <w:pPr>
        <w:spacing w:before="0" w:after="0" w:line="259" w:lineRule="auto"/>
        <w:ind w:left="1071" w:firstLine="0"/>
        <w:jc w:val="left"/>
      </w:pPr>
      <w:r>
        <w:rPr/>
        <w:t xml:space="preserve"> </w:t>
      </w:r>
    </w:p>
    <w:p>
      <w:pPr>
        <w:pStyle w:val="normal"/>
        <w:numPr>
          <w:ilvl w:val="0"/>
          <w:numId w:val="20"/>
        </w:numPr>
        <w:spacing w:before="0" w:after="5" w:line="247" w:lineRule="auto"/>
        <w:ind w:left="1056" w:right="598" w:hanging="360"/>
      </w:pPr>
      <w:r>
        <w:rPr/>
        <w:t xml:space="preserve">Le projet sera exécuté sur la base de plans de travail annuels signés par le Ministère</w:t>
      </w:r>
      <w:r>
        <w:rPr/>
        <w:t xml:space="preserve"> </w:t>
      </w:r>
      <w:r>
        <w:rPr/>
        <w:t xml:space="preserve">de l‟Environnement et du Développement Durable</w:t>
      </w:r>
      <w:r>
        <w:rPr/>
        <w:t xml:space="preserve"> </w:t>
      </w:r>
      <w:r>
        <w:rPr/>
        <w:t xml:space="preserve">et </w:t>
      </w:r>
      <w:r>
        <w:rPr/>
        <w:t xml:space="preserve"> </w:t>
      </w:r>
      <w:r>
        <w:rPr/>
        <w:t xml:space="preserve">le</w:t>
      </w:r>
      <w:r>
        <w:rPr/>
        <w:t xml:space="preserve"> </w:t>
      </w:r>
      <w:r>
        <w:rPr/>
        <w:t xml:space="preserve">PNUD</w:t>
      </w:r>
      <w:r>
        <w:rPr/>
        <w:t xml:space="preserve">.</w:t>
      </w:r>
      <w:r>
        <w:rPr/>
        <w:t xml:space="preserve"> </w:t>
      </w:r>
    </w:p>
    <w:p>
      <w:pPr>
        <w:spacing w:before="0" w:after="0" w:line="259" w:lineRule="auto"/>
        <w:ind w:left="1071" w:firstLine="0"/>
        <w:jc w:val="left"/>
      </w:pPr>
      <w:r>
        <w:rPr>
          <w:sz w:val="24"/>
        </w:rPr>
        <w:t xml:space="preserve"> </w:t>
      </w:r>
    </w:p>
    <w:p>
      <w:pPr>
        <w:pStyle w:val="normal"/>
        <w:numPr>
          <w:ilvl w:val="0"/>
          <w:numId w:val="20"/>
        </w:numPr>
        <w:spacing w:before="0" w:after="5" w:line="247" w:lineRule="auto"/>
        <w:ind w:left="1056" w:right="598" w:hanging="360"/>
      </w:pPr>
      <w:r>
        <w:rPr/>
        <w:t xml:space="preserve">Le</w:t>
      </w:r>
      <w:r>
        <w:rPr/>
        <w:t xml:space="preserve"> </w:t>
      </w:r>
      <w:r>
        <w:rPr/>
        <w:t xml:space="preserve">Ministère de l‟Environnement et du Développement Durable</w:t>
      </w:r>
      <w:r>
        <w:rPr/>
        <w:t xml:space="preserve"> </w:t>
      </w:r>
      <w:r>
        <w:rPr/>
        <w:t xml:space="preserve">mettra en place une Unité de Gestion</w:t>
      </w:r>
      <w:r>
        <w:rPr/>
        <w:t xml:space="preserve">  </w:t>
      </w:r>
      <w:r>
        <w:rPr/>
        <w:t xml:space="preserve">du projet qui comprendra:</w:t>
      </w:r>
      <w:r>
        <w:rPr/>
        <w:t xml:space="preserve"> </w:t>
      </w:r>
      <w:r>
        <w:rPr/>
        <w:t xml:space="preserve">a.</w:t>
      </w:r>
      <w:r>
        <w:rPr>
          <w:rFonts w:cs="Arial" w:hAnsi="Arial" w:eastAsia="Arial" w:ascii="Arial"/>
        </w:rPr>
        <w:t xml:space="preserve"> </w:t>
      </w:r>
      <w:r>
        <w:rPr/>
        <w:t xml:space="preserve">Un coordonnateur</w:t>
      </w:r>
      <w:r>
        <w:rPr/>
        <w:t xml:space="preserve"> </w:t>
      </w:r>
      <w:r>
        <w:rPr/>
        <w:t xml:space="preserve">national,</w:t>
      </w:r>
      <w:r>
        <w:rPr/>
        <w:t xml:space="preserve"> </w:t>
      </w:r>
    </w:p>
    <w:p>
      <w:pPr>
        <w:pStyle w:val="normal"/>
        <w:numPr>
          <w:ilvl w:val="1"/>
          <w:numId w:val="20"/>
        </w:numPr>
        <w:spacing w:before="0" w:after="5" w:line="247" w:lineRule="auto"/>
        <w:ind w:left="1440" w:right="598" w:hanging="360"/>
      </w:pPr>
      <w:r>
        <w:rPr/>
        <w:t xml:space="preserve">Un expert en suivi</w:t>
      </w:r>
      <w:r>
        <w:rPr/>
        <w:t xml:space="preserve">-</w:t>
      </w:r>
      <w:r>
        <w:rPr/>
        <w:t xml:space="preserve">évaluation</w:t>
      </w:r>
      <w:r>
        <w:rPr/>
        <w:t xml:space="preserve"> </w:t>
      </w:r>
    </w:p>
    <w:p>
      <w:pPr>
        <w:pStyle w:val="normal"/>
        <w:numPr>
          <w:ilvl w:val="1"/>
          <w:numId w:val="20"/>
        </w:numPr>
        <w:spacing w:before="0" w:after="5" w:line="247" w:lineRule="auto"/>
        <w:ind w:left="1440" w:right="598" w:hanging="360"/>
      </w:pPr>
      <w:r>
        <w:rPr/>
        <w:t xml:space="preserve">Un gestionnaire</w:t>
      </w:r>
      <w:r>
        <w:rPr/>
        <w:t xml:space="preserve">-</w:t>
      </w:r>
      <w:r>
        <w:rPr/>
        <w:t xml:space="preserve">comptable</w:t>
      </w:r>
      <w:r>
        <w:rPr/>
        <w:t xml:space="preserve"> </w:t>
      </w:r>
    </w:p>
    <w:p>
      <w:pPr>
        <w:pStyle w:val="normal"/>
        <w:numPr>
          <w:ilvl w:val="1"/>
          <w:numId w:val="20"/>
        </w:numPr>
        <w:spacing w:before="0" w:after="5" w:line="247" w:lineRule="auto"/>
        <w:ind w:left="1440" w:right="598" w:hanging="360"/>
      </w:pPr>
      <w:r>
        <w:rPr/>
        <w:t xml:space="preserve">Une secrétaire de direction</w:t>
      </w:r>
      <w:r>
        <w:rPr/>
        <w:t xml:space="preserve"> </w:t>
      </w:r>
    </w:p>
    <w:p>
      <w:pPr>
        <w:pStyle w:val="normal"/>
        <w:numPr>
          <w:ilvl w:val="1"/>
          <w:numId w:val="20"/>
        </w:numPr>
        <w:spacing w:before="0" w:after="5" w:line="247" w:lineRule="auto"/>
        <w:ind w:left="1440" w:right="598" w:hanging="360"/>
      </w:pPr>
      <w:r>
        <w:rPr/>
        <w:t xml:space="preserve">Un chauffeur</w:t>
      </w:r>
      <w:r>
        <w:rPr/>
        <w:t xml:space="preserve"> </w:t>
      </w:r>
    </w:p>
    <w:p>
      <w:pPr>
        <w:pStyle w:val="normal"/>
        <w:numPr>
          <w:ilvl w:val="1"/>
          <w:numId w:val="20"/>
        </w:numPr>
        <w:spacing w:before="0" w:after="5" w:line="247" w:lineRule="auto"/>
        <w:ind w:left="1440" w:right="598" w:hanging="360"/>
      </w:pPr>
      <w:r>
        <w:rPr/>
        <w:t xml:space="preserve">Un agent de sécurité</w:t>
      </w:r>
      <w:r>
        <w:rPr/>
        <w:t xml:space="preserve">  </w:t>
      </w:r>
    </w:p>
    <w:p>
      <w:pPr>
        <w:spacing w:before="0" w:after="0" w:line="259" w:lineRule="auto"/>
        <w:ind w:left="1071" w:firstLine="0"/>
        <w:jc w:val="left"/>
      </w:pPr>
      <w:r>
        <w:rPr/>
        <w:t xml:space="preserve"> </w:t>
      </w:r>
    </w:p>
    <w:p>
      <w:pPr>
        <w:pStyle w:val="normal"/>
        <w:spacing w:before="0" w:after="5" w:line="247" w:lineRule="auto"/>
        <w:ind w:left="1081" w:right="598"/>
      </w:pPr>
      <w:r>
        <w:rPr/>
        <w:t xml:space="preserve">Une équipe d‟appui</w:t>
      </w:r>
      <w:r>
        <w:rPr/>
        <w:t xml:space="preserve">-</w:t>
      </w:r>
      <w:r>
        <w:rPr/>
        <w:t xml:space="preserve">conseil comprenant un conseiller environnement et un financier pourra être</w:t>
      </w:r>
      <w:r>
        <w:rPr/>
        <w:t xml:space="preserve"> </w:t>
      </w:r>
      <w:r>
        <w:rPr/>
        <w:t xml:space="preserve">mise</w:t>
      </w:r>
      <w:r>
        <w:rPr/>
        <w:t xml:space="preserve"> </w:t>
      </w:r>
      <w:r>
        <w:rPr/>
        <w:t xml:space="preserve">à la disposition des Conseils Régionaux là où l‟expertise existante au sein des Conseils Régionaux n‟est pas capable d‟assumer les responsabilités requises pour le succès des actions appuyées par le projet. Cette équipe assurera notamment les fonctions de</w:t>
      </w:r>
      <w:r>
        <w:rPr/>
        <w:t xml:space="preserve"> </w:t>
      </w:r>
      <w:r>
        <w:rPr/>
        <w:t xml:space="preserve">conseiller à la maîtrise d‟ouvrage du Conseil Régional et des Communes. Dans les régions où les Agences Régionales de Développement (ARD) sont opérationnelles les fonctions d‟appui</w:t>
      </w:r>
      <w:r>
        <w:rPr/>
        <w:t xml:space="preserve">-</w:t>
      </w:r>
      <w:r>
        <w:rPr/>
        <w:t xml:space="preserve">conseils dans le domaine de l‟environnement pourront être prises en charge</w:t>
      </w:r>
      <w:r>
        <w:rPr/>
        <w:t xml:space="preserve"> </w:t>
      </w:r>
      <w:r>
        <w:rPr/>
        <w:t xml:space="preserve">par les compétences des ARD.</w:t>
      </w:r>
      <w:r>
        <w:rPr/>
        <w:t xml:space="preserve"> </w:t>
      </w:r>
      <w:r>
        <w:rPr/>
        <w:t xml:space="preserve">Les termes de référence des différentes compétences sont en annexe.</w:t>
      </w:r>
      <w:r>
        <w:rPr/>
        <w:t xml:space="preserve"> </w:t>
      </w:r>
    </w:p>
    <w:p>
      <w:pPr>
        <w:spacing w:before="0" w:after="0" w:line="259" w:lineRule="auto"/>
        <w:ind w:left="720" w:firstLine="0"/>
        <w:jc w:val="left"/>
      </w:pPr>
      <w:r>
        <w:rPr/>
        <w:t xml:space="preserve"> </w:t>
      </w:r>
    </w:p>
    <w:p>
      <w:pPr>
        <w:pStyle w:val="normal"/>
        <w:numPr>
          <w:ilvl w:val="0"/>
          <w:numId w:val="20"/>
        </w:numPr>
        <w:spacing w:before="0" w:after="5" w:line="247" w:lineRule="auto"/>
        <w:ind w:left="1056" w:right="598" w:hanging="360"/>
      </w:pPr>
      <w:r>
        <w:rPr/>
        <w:t xml:space="preserve">Les activités de coordination, de suivi &amp; évaluation, mais également le renforcement des capacités de l‟équipe du projet sont pris en compte dans la rubrique</w:t>
      </w:r>
      <w:r>
        <w:rPr/>
        <w:t xml:space="preserve"> </w:t>
      </w:r>
      <w:r>
        <w:rPr/>
        <w:t xml:space="preserve">unité de coordination du budget. Par renforcement des capacités on entend aussi bien les formations classiques  que  la participation à certaines rencontres thématiques et des voyages d‟échanges.</w:t>
      </w:r>
      <w:r>
        <w:rPr/>
        <w:t xml:space="preserve"> </w:t>
      </w:r>
    </w:p>
    <w:p>
      <w:pPr>
        <w:spacing w:before="0" w:after="0" w:line="259" w:lineRule="auto"/>
        <w:ind w:left="1071" w:firstLine="0"/>
        <w:jc w:val="left"/>
      </w:pPr>
      <w:r>
        <w:rPr>
          <w:rFonts w:cs="Times New Roman" w:hAnsi="Times New Roman" w:eastAsia="Times New Roman" w:ascii="Times New Roman"/>
          <w:b w:val="1"/>
        </w:rPr>
        <w:t xml:space="preserve"> </w:t>
      </w:r>
    </w:p>
    <w:p>
      <w:pPr>
        <w:pStyle w:val="normal"/>
        <w:numPr>
          <w:ilvl w:val="0"/>
          <w:numId w:val="20"/>
        </w:numPr>
        <w:spacing w:before="0" w:after="5" w:line="247" w:lineRule="auto"/>
        <w:ind w:left="1056" w:right="598" w:hanging="360"/>
      </w:pPr>
      <w:r>
        <w:rPr/>
        <w:t xml:space="preserve">Les décaissements de la contribution du PNUD se feront par</w:t>
      </w:r>
      <w:r>
        <w:rPr/>
        <w:t xml:space="preserve"> </w:t>
      </w:r>
      <w:r>
        <w:rPr/>
        <w:t xml:space="preserve">avances trimestrielles dans un compte ouvert au nom du projet</w:t>
      </w:r>
      <w:r>
        <w:rPr/>
        <w:t xml:space="preserve"> </w:t>
      </w:r>
      <w:r>
        <w:rPr/>
        <w:t xml:space="preserve">à la BECEAO ou au Trésor Public. Certains décaissements convenus d‟accord parties entre le PNUD et le MEDD se feront par paiement direct</w:t>
      </w:r>
      <w:r>
        <w:rPr/>
        <w:t xml:space="preserve"> </w:t>
      </w:r>
      <w:r>
        <w:rPr/>
        <w:t xml:space="preserve">à la demande du Directeur National du projet. A la fin de chaque trimestre, l‟administration du projet produira un rapport technique relatif à la mise en œuvre des activités et un rapport financier relatif à l‟avance reçue au titre du trimestre en question et conformément aux normes et standards convenus avec les partenaires financiers.</w:t>
      </w:r>
      <w:r>
        <w:rPr/>
        <w:t xml:space="preserve"> </w:t>
      </w:r>
      <w:r>
        <w:rPr/>
        <w:t xml:space="preserve">L‟avance reçue au cours du trimestre devra être justifiée à la fin du trimestre à partir d‟un taux d‟absorption d‟au moins 80% permettant le déclenchement </w:t>
      </w:r>
      <w:r>
        <w:rPr/>
        <w:t xml:space="preserve">d‟une nouvelle avance. La gestion de la contribution du PNUD sera assurée par l‟administration du projet qui s‟entourera de gestionnaires expérimentés pour assurer les écritures et le suivi comptable ainsi que le suivi de l‟utilisation des actifs et équipements du projet.</w:t>
      </w:r>
      <w:r>
        <w:rPr/>
        <w:t xml:space="preserve"> </w:t>
      </w:r>
      <w:r>
        <w:rPr/>
        <w:t xml:space="preserve">La gestion du compte respectera les dispositions convenues par le Gouvernement et le</w:t>
      </w:r>
      <w:r>
        <w:rPr/>
        <w:t xml:space="preserve"> </w:t>
      </w:r>
      <w:r>
        <w:rPr/>
        <w:t xml:space="preserve">PNUD dans le manuel des règles et procédures de gestion des programmes/projets sous exécution nationale.</w:t>
      </w:r>
      <w:r>
        <w:rPr/>
        <w:t xml:space="preserve"> </w:t>
      </w:r>
    </w:p>
    <w:p>
      <w:pPr>
        <w:spacing w:before="0" w:after="0" w:line="259" w:lineRule="auto"/>
        <w:ind w:left="1071" w:firstLine="0"/>
        <w:jc w:val="left"/>
      </w:pPr>
      <w:r>
        <w:rPr>
          <w:sz w:val="24"/>
        </w:rPr>
        <w:t xml:space="preserve"> </w:t>
      </w:r>
    </w:p>
    <w:p>
      <w:pPr>
        <w:pStyle w:val="normal"/>
        <w:numPr>
          <w:ilvl w:val="0"/>
          <w:numId w:val="20"/>
        </w:numPr>
        <w:spacing w:before="0" w:after="5" w:line="247" w:lineRule="auto"/>
        <w:ind w:left="1056" w:right="598" w:hanging="360"/>
      </w:pPr>
      <w:r>
        <w:rPr>
          <w:rFonts w:cs="Times New Roman" w:hAnsi="Times New Roman" w:eastAsia="Times New Roman" w:ascii="Times New Roman"/>
          <w:b w:val="1"/>
        </w:rPr>
        <w:t xml:space="preserve">L’audit</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du projet</w:t>
      </w:r>
      <w:r>
        <w:rPr/>
        <w:t xml:space="preserve"> </w:t>
      </w:r>
      <w:r>
        <w:rPr/>
        <w:t xml:space="preserve">sera effectué annuellement selon les procédures en vigueur en matière de mise en œuvre nationale</w:t>
      </w:r>
      <w:r>
        <w:rPr/>
        <w:t xml:space="preserve">  </w:t>
      </w:r>
      <w:r>
        <w:rPr/>
        <w:t xml:space="preserve">notamment en fonction du montant du décaissement annuel. Le projet devra être audité  au moins une fois dans son cycle de vie, mais peut être audité tous les ans selon qu‟il sera reflété dans le plan d‟audit annuel préparé conformément aux directives et termes de références mises à disposition par le Bureau des Audits et Investigations du siège du PNUD</w:t>
      </w:r>
      <w:r>
        <w:rPr/>
        <w:t xml:space="preserve">.</w:t>
      </w:r>
      <w:r>
        <w:rPr/>
        <w:t xml:space="preserve"> </w:t>
      </w:r>
      <w:r>
        <w:rPr/>
        <w:t xml:space="preserve">Les rapports d‟audits annuels incluant le rapport sur les comptes annuels et le rapport sur le contrôle interne seront transmis par le PNUD</w:t>
      </w:r>
      <w:r>
        <w:rPr/>
        <w:t xml:space="preserve"> </w:t>
      </w:r>
      <w:r>
        <w:rPr/>
        <w:t xml:space="preserve">aux PTF</w:t>
      </w:r>
      <w:r>
        <w:rPr/>
        <w:t xml:space="preserve"> </w:t>
      </w:r>
      <w:r>
        <w:rPr/>
        <w:t xml:space="preserve">qui contribuent au financement du projet</w:t>
      </w:r>
      <w:r>
        <w:rPr/>
        <w:t xml:space="preserve">. </w:t>
      </w:r>
      <w:r>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pStyle w:val="heading3"/>
        <w:spacing w:before="0" w:after="10" w:line="249" w:lineRule="auto"/>
        <w:ind w:left="-5"/>
      </w:pPr>
      <w:r>
        <w:rPr/>
        <w:t xml:space="preserve">3.2 </w:t>
      </w:r>
      <w:r>
        <w:rPr/>
        <w:t xml:space="preserve">Dispositif de pilotage</w:t>
      </w:r>
      <w:r>
        <w:rPr/>
        <w:t xml:space="preserve"> </w:t>
      </w:r>
    </w:p>
    <w:p>
      <w:pPr>
        <w:pStyle w:val="normal"/>
        <w:numPr>
          <w:ilvl w:val="0"/>
          <w:numId w:val="21"/>
        </w:numPr>
        <w:spacing w:before="0" w:after="5" w:line="247" w:lineRule="auto"/>
        <w:ind w:left="1056" w:right="598" w:hanging="360"/>
      </w:pPr>
      <w:r>
        <w:rPr/>
        <w:t xml:space="preserve">Il sera mis en place un comité de pilotage du projet présidé par le Secrétaire Général du Ministère de l‟Environnement et du Développement Durable. Le pilotage du projet peut être assuré par un comité commun à plusieurs projets similaires ou connexes. Les attributions, la composition et le fonctionnement du comité de pilotage seront définis par le Ministre de l‟Environnement et du Développement Durable conformément au décret n° 2007</w:t>
      </w:r>
      <w:r>
        <w:rPr/>
        <w:t xml:space="preserve">-</w:t>
      </w:r>
      <w:r>
        <w:rPr/>
        <w:t xml:space="preserve">775/PRES/MEF du 22 novembre 2007 portant réglementation générale des projets ou programmes de développement exécutés au Burkina Faso. Les attributions suivantes </w:t>
      </w:r>
      <w:r>
        <w:rPr/>
        <w:t xml:space="preserve"> </w:t>
      </w:r>
      <w:r>
        <w:rPr/>
        <w:t xml:space="preserve">sont assurées par le comité de pilotage:</w:t>
      </w:r>
      <w:r>
        <w:rPr/>
        <w:t xml:space="preserve"> </w:t>
      </w:r>
    </w:p>
    <w:p>
      <w:pPr>
        <w:spacing w:before="0" w:after="15" w:line="259" w:lineRule="auto"/>
        <w:ind w:left="720" w:firstLine="0"/>
        <w:jc w:val="left"/>
      </w:pPr>
      <w:r>
        <w:rPr/>
        <w:t xml:space="preserve"> </w:t>
      </w:r>
    </w:p>
    <w:p>
      <w:pPr>
        <w:pStyle w:val="normal"/>
        <w:numPr>
          <w:ilvl w:val="1"/>
          <w:numId w:val="21"/>
        </w:numPr>
        <w:spacing w:before="0" w:after="5" w:line="247" w:lineRule="auto"/>
        <w:ind w:left="1776" w:right="598" w:hanging="360"/>
      </w:pPr>
      <w:r>
        <w:rPr/>
        <w:t xml:space="preserve">d'examiner le plan d'exécution du projet ;</w:t>
      </w:r>
      <w:r>
        <w:rPr/>
        <w:t xml:space="preserve"> </w:t>
      </w:r>
    </w:p>
    <w:p>
      <w:pPr>
        <w:pStyle w:val="normal"/>
        <w:numPr>
          <w:ilvl w:val="1"/>
          <w:numId w:val="21"/>
        </w:numPr>
        <w:spacing w:before="0" w:after="5" w:line="247" w:lineRule="auto"/>
        <w:ind w:left="1776" w:right="598" w:hanging="360"/>
      </w:pPr>
      <w:r>
        <w:rPr/>
        <w:t xml:space="preserve">d'examiner les différents rapports d'évaluation du projet ;</w:t>
      </w:r>
      <w:r>
        <w:rPr/>
        <w:t xml:space="preserve"> </w:t>
      </w:r>
    </w:p>
    <w:p>
      <w:pPr>
        <w:pStyle w:val="normal"/>
        <w:numPr>
          <w:ilvl w:val="1"/>
          <w:numId w:val="21"/>
        </w:numPr>
        <w:spacing w:before="0" w:after="5" w:line="247" w:lineRule="auto"/>
        <w:ind w:left="1776" w:right="598" w:hanging="360"/>
      </w:pPr>
      <w:r>
        <w:rPr/>
        <w:t xml:space="preserve">d'examiner les rapports d'activités et financiers périodiques ;</w:t>
      </w:r>
      <w:r>
        <w:rPr/>
        <w:t xml:space="preserve"> </w:t>
      </w:r>
    </w:p>
    <w:p>
      <w:pPr>
        <w:pStyle w:val="normal"/>
        <w:numPr>
          <w:ilvl w:val="1"/>
          <w:numId w:val="21"/>
        </w:numPr>
        <w:spacing w:before="0" w:after="5" w:line="247" w:lineRule="auto"/>
        <w:ind w:left="1776" w:right="598" w:hanging="360"/>
      </w:pPr>
      <w:r>
        <w:rPr/>
        <w:t xml:space="preserve">d'examiner le programme d'activité annuel, le budget et le plan de</w:t>
      </w:r>
      <w:r>
        <w:rPr/>
        <w:t xml:space="preserve"> </w:t>
      </w:r>
    </w:p>
    <w:p>
      <w:pPr>
        <w:pStyle w:val="normal"/>
        <w:numPr>
          <w:ilvl w:val="1"/>
          <w:numId w:val="21"/>
        </w:numPr>
        <w:spacing w:before="0" w:after="41" w:line="247" w:lineRule="auto"/>
        <w:ind w:left="1776" w:right="598" w:hanging="360"/>
      </w:pPr>
      <w:r>
        <w:rPr/>
        <w:t xml:space="preserve">passation de marché ;</w:t>
      </w:r>
      <w:r>
        <w:rPr/>
        <w:t xml:space="preserve"> </w:t>
      </w:r>
    </w:p>
    <w:p>
      <w:pPr>
        <w:pStyle w:val="normal"/>
        <w:numPr>
          <w:ilvl w:val="1"/>
          <w:numId w:val="21"/>
        </w:numPr>
        <w:spacing w:before="0" w:after="32" w:line="247" w:lineRule="auto"/>
        <w:ind w:left="1776" w:right="598" w:hanging="360"/>
      </w:pPr>
      <w:r>
        <w:rPr/>
        <w:t xml:space="preserve">de veiller à la mise en œuvre des recommandations du comité de pilotage, des missions de supervision et de suivi et des différents audits ;</w:t>
      </w:r>
      <w:r>
        <w:rPr/>
        <w:t xml:space="preserve"> </w:t>
      </w:r>
    </w:p>
    <w:p>
      <w:pPr>
        <w:pStyle w:val="normal"/>
        <w:numPr>
          <w:ilvl w:val="1"/>
          <w:numId w:val="21"/>
        </w:numPr>
        <w:spacing w:before="0" w:after="29" w:line="247" w:lineRule="auto"/>
        <w:ind w:left="1776" w:right="598" w:hanging="360"/>
      </w:pPr>
      <w:r>
        <w:rPr/>
        <w:t xml:space="preserve">d'évaluer les performances du Coordonnateur (trice) du projet conformément à sa lettre de mission ;</w:t>
      </w:r>
      <w:r>
        <w:rPr/>
        <w:t xml:space="preserve"> </w:t>
      </w:r>
    </w:p>
    <w:p>
      <w:pPr>
        <w:pStyle w:val="normal"/>
        <w:numPr>
          <w:ilvl w:val="1"/>
          <w:numId w:val="21"/>
        </w:numPr>
        <w:spacing w:before="0" w:after="31" w:line="247" w:lineRule="auto"/>
        <w:ind w:left="1776" w:right="598" w:hanging="360"/>
      </w:pPr>
      <w:r>
        <w:rPr/>
        <w:t xml:space="preserve">de faire des recommandations à l'attention du Coordonnateur et des différents partenaires intervenant dans la vie du projet;</w:t>
      </w:r>
      <w:r>
        <w:rPr/>
        <w:t xml:space="preserve"> </w:t>
      </w:r>
    </w:p>
    <w:p>
      <w:pPr>
        <w:pStyle w:val="normal"/>
        <w:numPr>
          <w:ilvl w:val="1"/>
          <w:numId w:val="21"/>
        </w:numPr>
        <w:spacing w:before="0" w:after="5" w:line="247" w:lineRule="auto"/>
        <w:ind w:left="1776" w:right="598" w:hanging="360"/>
      </w:pPr>
      <w:r>
        <w:rPr/>
        <w:t xml:space="preserve">d'approuver les états financiers du projet ;</w:t>
      </w:r>
      <w:r>
        <w:rPr/>
        <w:t xml:space="preserve"> </w:t>
      </w:r>
    </w:p>
    <w:p>
      <w:pPr>
        <w:pStyle w:val="normal"/>
        <w:numPr>
          <w:ilvl w:val="1"/>
          <w:numId w:val="21"/>
        </w:numPr>
        <w:spacing w:before="0" w:after="5" w:line="247" w:lineRule="auto"/>
        <w:ind w:left="1776" w:right="598" w:hanging="360"/>
      </w:pPr>
      <w:r>
        <w:rPr/>
        <w:t xml:space="preserve">d'examiner tout dossier soumis à son appréciation.</w:t>
      </w:r>
      <w:r>
        <w:rPr/>
        <w:t xml:space="preserve"> </w:t>
      </w:r>
    </w:p>
    <w:p>
      <w:pPr>
        <w:pStyle w:val="normal"/>
        <w:spacing w:before="0" w:after="27" w:line="247" w:lineRule="auto"/>
        <w:ind w:left="706" w:right="598"/>
      </w:pPr>
      <w:r>
        <w:rPr/>
        <w:t xml:space="preserve">Le Comité de Pilotage comportera des représentants des collectivités territoriales bénéficiaires des interventions du projet.</w:t>
      </w:r>
      <w:r>
        <w:rPr/>
        <w:t xml:space="preserve">  </w:t>
      </w:r>
    </w:p>
    <w:p>
      <w:pPr>
        <w:pStyle w:val="normal"/>
        <w:numPr>
          <w:ilvl w:val="0"/>
          <w:numId w:val="21"/>
        </w:numPr>
        <w:spacing w:before="0" w:after="5" w:line="247" w:lineRule="auto"/>
        <w:ind w:left="1056" w:right="598" w:hanging="360"/>
      </w:pPr>
      <w:r>
        <w:rPr/>
        <w:t xml:space="preserve">Au niveau de chaque région d‟intervention du projet, un comité de régional de suivi sera mis en place. Son rôle est de proposer les orientations des interventions du projet dans la région, de faciliter la mise en place d‟une plate</w:t>
      </w:r>
      <w:r>
        <w:rPr/>
        <w:t xml:space="preserve">-</w:t>
      </w:r>
      <w:r>
        <w:rPr/>
        <w:t xml:space="preserve">forme de partenariat pour la mise en œuvre des actions, de suivre et évaluer les progrès du projet dans la réalisation des résultats attendus dans la région</w:t>
      </w:r>
      <w:r>
        <w:rPr/>
        <w:t xml:space="preserve"> </w:t>
      </w:r>
      <w:r>
        <w:rPr/>
        <w:t xml:space="preserve">et de faire des propositions au Comité de Pilotage en vue d‟améliorer les résultats du projet. Il est composé</w:t>
      </w:r>
      <w:r>
        <w:rPr/>
        <w:t xml:space="preserve"> </w:t>
      </w:r>
      <w:r>
        <w:rPr/>
        <w:t xml:space="preserve">du Conseil Régional, de</w:t>
      </w:r>
      <w:r>
        <w:rPr/>
        <w:t xml:space="preserve"> </w:t>
      </w:r>
      <w:r>
        <w:rPr/>
        <w:t xml:space="preserve">représentants des Conseils Municipaux, des services techniques régionaux, de la société civile, du secteur privé et des projets et programmes intervenant dans la région. La présidence est assurée par le Président du Conseil Régional</w:t>
      </w:r>
      <w:r>
        <w:rPr/>
        <w:t xml:space="preserve"> </w:t>
      </w:r>
      <w:r>
        <w:rPr/>
        <w:t xml:space="preserve">et le rapportage par le Directeur Régional de l‟Environnement et du Développement Durable</w:t>
      </w:r>
      <w:r>
        <w:rPr/>
        <w:t xml:space="preserve">. </w:t>
      </w:r>
      <w:r>
        <w:rPr>
          <w:rFonts w:cs="Times New Roman" w:hAnsi="Times New Roman" w:eastAsia="Times New Roman" w:ascii="Times New Roman"/>
          <w:b w:val="1"/>
        </w:rPr>
        <w:t xml:space="preserve"> </w:t>
      </w:r>
    </w:p>
    <w:p>
      <w:pPr>
        <w:spacing w:before="0" w:after="0" w:line="238" w:lineRule="auto"/>
        <w:ind w:left="0" w:right="7419" w:firstLine="0"/>
        <w:jc w:val="left"/>
      </w:pPr>
      <w:r>
        <w:rPr>
          <w:sz w:val="24"/>
        </w:rPr>
        <w:t xml:space="preserve"> </w:t>
      </w:r>
      <w:r>
        <w:rPr>
          <w:rFonts w:cs="Times New Roman" w:hAnsi="Times New Roman" w:eastAsia="Times New Roman" w:ascii="Times New Roman"/>
          <w:b w:val="1"/>
          <w:sz w:val="24"/>
        </w:rPr>
        <w:t xml:space="preserve">  	 </w:t>
      </w:r>
    </w:p>
    <w:p>
      <w:pPr>
        <w:pStyle w:val="heading3"/>
        <w:spacing w:before="0" w:after="10" w:line="249" w:lineRule="auto"/>
        <w:ind w:left="-5"/>
      </w:pPr>
      <w:r>
        <w:rPr/>
        <w:t xml:space="preserve">3.3</w:t>
      </w:r>
      <w:r>
        <w:rPr>
          <w:rFonts w:cs="Arial" w:hAnsi="Arial" w:eastAsia="Arial" w:ascii="Arial"/>
        </w:rPr>
        <w:t xml:space="preserve"> </w:t>
      </w:r>
      <w:r>
        <w:rPr/>
        <w:t xml:space="preserve">Moyens matériels de mise en œuvre</w:t>
      </w:r>
      <w:r>
        <w:rPr/>
        <w:t xml:space="preserve">  </w:t>
      </w:r>
    </w:p>
    <w:p>
      <w:pPr>
        <w:spacing w:before="0" w:after="0" w:line="259" w:lineRule="auto"/>
        <w:ind w:left="406" w:firstLine="0"/>
        <w:jc w:val="left"/>
      </w:pPr>
      <w:r>
        <w:rPr/>
        <w:t xml:space="preserve"> </w:t>
      </w:r>
    </w:p>
    <w:p>
      <w:pPr>
        <w:spacing w:before="0" w:after="0" w:line="259" w:lineRule="auto"/>
        <w:ind w:left="416"/>
        <w:jc w:val="left"/>
      </w:pPr>
      <w:r>
        <w:rPr>
          <w:u w:val="single" w:color="000000"/>
        </w:rPr>
        <w:t xml:space="preserve">Apport du Gouvernement</w:t>
      </w:r>
      <w:r>
        <w:rPr>
          <w:u w:val="single" w:color="000000"/>
        </w:rPr>
        <w:t xml:space="preserve">:</w:t>
      </w:r>
      <w:r>
        <w:rPr/>
        <w:t xml:space="preserve"> </w:t>
      </w:r>
    </w:p>
    <w:p>
      <w:pPr>
        <w:spacing w:before="0" w:after="0" w:line="259" w:lineRule="auto"/>
        <w:ind w:left="0" w:firstLine="0"/>
        <w:jc w:val="left"/>
      </w:pPr>
      <w:r>
        <w:rPr/>
        <w:t xml:space="preserve"> </w:t>
      </w:r>
    </w:p>
    <w:p>
      <w:pPr>
        <w:pStyle w:val="normal"/>
        <w:spacing w:before="0" w:after="5" w:line="247" w:lineRule="auto"/>
        <w:ind w:left="0" w:right="598" w:firstLine="360"/>
      </w:pPr>
      <w:r>
        <w:rPr/>
        <w:t xml:space="preserve">Le Gouvernement mettra à la disposition du  projet des locaux appropriés pour le fonctionnement normal du sous programme et prendra en charge les frais de fonctionnement (téléphone, électricité et eau) ainsi que d‟entretien.</w:t>
      </w:r>
      <w:r>
        <w:rPr/>
        <w:t xml:space="preserve"> </w:t>
      </w:r>
      <w:r>
        <w:rPr/>
        <w:t xml:space="preserve">Il prendra les dispositions financières nécessaires  pour assurer la prise en charge des indemnités du personnel</w:t>
      </w:r>
      <w:r>
        <w:rPr/>
        <w:t xml:space="preserve"> </w:t>
      </w:r>
      <w:r>
        <w:rPr/>
        <w:t xml:space="preserve">de l‟unité de gestion et des membres des comités de pilotage qui ne sont pas pris en charge par le PNUD et pour</w:t>
      </w:r>
      <w:r>
        <w:rPr/>
        <w:t xml:space="preserve"> </w:t>
      </w:r>
      <w:r>
        <w:rPr/>
        <w:t xml:space="preserve">compenser le retrait progressif du PNUD dans le financement du projet.</w:t>
      </w:r>
      <w:r>
        <w:rPr/>
        <w:t xml:space="preserve"> </w:t>
      </w:r>
    </w:p>
    <w:p>
      <w:pPr>
        <w:spacing w:before="0" w:after="9" w:line="259" w:lineRule="auto"/>
        <w:ind w:left="0" w:firstLine="0"/>
        <w:jc w:val="left"/>
      </w:pPr>
      <w:r>
        <w:rPr/>
        <w:t xml:space="preserve"> </w:t>
      </w:r>
    </w:p>
    <w:p>
      <w:pPr>
        <w:pStyle w:val="normal"/>
        <w:spacing w:before="0" w:after="5" w:line="247" w:lineRule="auto"/>
        <w:ind w:left="10" w:right="598"/>
      </w:pPr>
      <w:r>
        <w:rPr/>
        <w:t xml:space="preserve">En outre il  facilitera la mise en œuvre des volets  du projet en créant les meilleures conditions de collaboration et d‟échanges entre le projet et les directions techniques des ministères  concernés en vue de garantir une meilleure pérennisation des résultats. </w:t>
      </w:r>
      <w:r>
        <w:rPr/>
        <w:t xml:space="preserve"> </w:t>
      </w:r>
    </w:p>
    <w:p>
      <w:pPr>
        <w:spacing w:before="0" w:after="0" w:line="259" w:lineRule="auto"/>
        <w:ind w:left="0" w:firstLine="0"/>
        <w:jc w:val="left"/>
      </w:pPr>
      <w:r>
        <w:rPr/>
        <w:t xml:space="preserve"> </w:t>
      </w:r>
    </w:p>
    <w:p>
      <w:pPr>
        <w:pStyle w:val="heading4"/>
        <w:spacing w:before="0" w:after="0" w:line="259" w:lineRule="auto"/>
        <w:ind w:left="730"/>
      </w:pPr>
      <w:r>
        <w:rPr/>
        <w:t xml:space="preserve">Apport du PNUD</w:t>
      </w:r>
      <w:r>
        <w:rPr>
          <w:u w:val="none" w:color="000000"/>
        </w:rPr>
        <w:t xml:space="preserve"> </w:t>
      </w:r>
    </w:p>
    <w:p>
      <w:pPr>
        <w:spacing w:before="0" w:after="0" w:line="259" w:lineRule="auto"/>
        <w:ind w:left="0" w:firstLine="0"/>
        <w:jc w:val="left"/>
      </w:pPr>
      <w:r>
        <w:rPr/>
        <w:t xml:space="preserve"> </w:t>
      </w:r>
    </w:p>
    <w:p>
      <w:pPr>
        <w:pStyle w:val="normal"/>
        <w:spacing w:before="0" w:after="25" w:line="247" w:lineRule="auto"/>
        <w:ind w:left="10" w:right="598"/>
      </w:pPr>
      <w:r>
        <w:rPr/>
        <w:t xml:space="preserve">En plus de l‟assistance technique énumérée ci</w:t>
      </w:r>
      <w:r>
        <w:rPr/>
        <w:t xml:space="preserve">-</w:t>
      </w:r>
      <w:r>
        <w:rPr/>
        <w:t xml:space="preserve">dessus,  la contribution du PNUD  couvrira les principaux équipements ci dessous:</w:t>
      </w:r>
      <w:r>
        <w:rPr/>
        <w:t xml:space="preserve"> </w:t>
      </w:r>
    </w:p>
    <w:p>
      <w:pPr>
        <w:pStyle w:val="normal"/>
        <w:numPr>
          <w:ilvl w:val="0"/>
          <w:numId w:val="22"/>
        </w:numPr>
        <w:spacing w:before="0" w:after="50" w:line="247" w:lineRule="auto"/>
        <w:ind w:left="720" w:right="598" w:hanging="360"/>
      </w:pPr>
      <w:r>
        <w:rPr/>
        <w:t xml:space="preserve">Un véhicule 4X4</w:t>
      </w:r>
      <w:r>
        <w:rPr>
          <w:rFonts w:cs="Times New Roman" w:hAnsi="Times New Roman" w:eastAsia="Times New Roman" w:ascii="Times New Roman"/>
          <w:b w:val="1"/>
        </w:rPr>
        <w:t xml:space="preserve"> </w:t>
      </w:r>
    </w:p>
    <w:p>
      <w:pPr>
        <w:pStyle w:val="normal"/>
        <w:numPr>
          <w:ilvl w:val="0"/>
          <w:numId w:val="22"/>
        </w:numPr>
        <w:spacing w:before="0" w:after="50" w:line="247" w:lineRule="auto"/>
        <w:ind w:left="720" w:right="598" w:hanging="360"/>
      </w:pPr>
      <w:r>
        <w:rPr/>
        <w:t xml:space="preserve">Un véhicule léger</w:t>
      </w:r>
      <w:r>
        <w:rPr>
          <w:rFonts w:cs="Times New Roman" w:hAnsi="Times New Roman" w:eastAsia="Times New Roman" w:ascii="Times New Roman"/>
          <w:b w:val="1"/>
        </w:rPr>
        <w:t xml:space="preserve"> </w:t>
      </w:r>
    </w:p>
    <w:p>
      <w:pPr>
        <w:pStyle w:val="normal"/>
        <w:numPr>
          <w:ilvl w:val="0"/>
          <w:numId w:val="22"/>
        </w:numPr>
        <w:spacing w:before="0" w:after="50" w:line="247" w:lineRule="auto"/>
        <w:ind w:left="720" w:right="598" w:hanging="360"/>
      </w:pPr>
      <w:r>
        <w:rPr/>
        <w:t xml:space="preserve">8</w:t>
      </w:r>
      <w:r>
        <w:rPr/>
        <w:t xml:space="preserve"> </w:t>
      </w:r>
      <w:r>
        <w:rPr/>
        <w:t xml:space="preserve">ordinateurs de bureaux</w:t>
      </w:r>
      <w:r>
        <w:rPr>
          <w:rFonts w:cs="Times New Roman" w:hAnsi="Times New Roman" w:eastAsia="Times New Roman" w:ascii="Times New Roman"/>
          <w:b w:val="1"/>
        </w:rPr>
        <w:t xml:space="preserve"> </w:t>
      </w:r>
    </w:p>
    <w:p>
      <w:pPr>
        <w:pStyle w:val="normal"/>
        <w:numPr>
          <w:ilvl w:val="0"/>
          <w:numId w:val="22"/>
        </w:numPr>
        <w:spacing w:before="0" w:after="52" w:line="247" w:lineRule="auto"/>
        <w:ind w:left="720" w:right="598" w:hanging="360"/>
      </w:pPr>
      <w:r>
        <w:rPr/>
        <w:t xml:space="preserve">Du mobilier de bureau</w:t>
      </w:r>
      <w:r>
        <w:rPr>
          <w:rFonts w:cs="Times New Roman" w:hAnsi="Times New Roman" w:eastAsia="Times New Roman" w:ascii="Times New Roman"/>
          <w:b w:val="1"/>
        </w:rPr>
        <w:t xml:space="preserve"> </w:t>
      </w:r>
    </w:p>
    <w:p>
      <w:pPr>
        <w:pStyle w:val="normal"/>
        <w:numPr>
          <w:ilvl w:val="0"/>
          <w:numId w:val="22"/>
        </w:numPr>
        <w:spacing w:before="0" w:after="215" w:line="247" w:lineRule="auto"/>
        <w:ind w:left="720" w:right="598" w:hanging="360"/>
      </w:pPr>
      <w:r>
        <w:rPr/>
        <w:t xml:space="preserve">Deux ordinateurs portables</w:t>
      </w:r>
      <w:r>
        <w:rPr>
          <w:rFonts w:cs="Times New Roman" w:hAnsi="Times New Roman" w:eastAsia="Times New Roman" w:ascii="Times New Roman"/>
          <w:b w:val="1"/>
        </w:rPr>
        <w:t xml:space="preserve"> </w:t>
      </w:r>
    </w:p>
    <w:p>
      <w:pPr>
        <w:spacing w:before="0" w:after="0" w:line="259" w:lineRule="auto"/>
        <w:ind w:left="0" w:firstLine="0"/>
        <w:jc w:val="left"/>
      </w:pPr>
      <w:r>
        <w:rPr>
          <w:rFonts w:cs="Times New Roman" w:hAnsi="Times New Roman" w:eastAsia="Times New Roman" w:ascii="Times New Roman"/>
          <w:b w:val="1"/>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pStyle w:val="heading3"/>
        <w:spacing w:before="0" w:after="10" w:line="249" w:lineRule="auto"/>
        <w:ind w:left="-5"/>
      </w:pPr>
      <w:r>
        <w:rPr/>
        <w:t xml:space="preserve">3.4</w:t>
      </w:r>
      <w:r>
        <w:rPr/>
        <w:t xml:space="preserve">. Suivi et évaluation</w:t>
      </w:r>
      <w:r>
        <w:rPr/>
        <w:t xml:space="preserve"> </w:t>
      </w:r>
    </w:p>
    <w:p>
      <w:pPr>
        <w:spacing w:before="0" w:after="0" w:line="259" w:lineRule="auto"/>
        <w:ind w:left="0" w:right="549" w:firstLine="0"/>
        <w:jc w:val="center"/>
      </w:pPr>
      <w:r>
        <w:rPr>
          <w:rFonts w:cs="Times New Roman" w:hAnsi="Times New Roman" w:eastAsia="Times New Roman" w:ascii="Times New Roman"/>
          <w:b w:val="1"/>
          <w:sz w:val="24"/>
        </w:rPr>
        <w:t xml:space="preserve"> </w:t>
      </w:r>
    </w:p>
    <w:p>
      <w:pPr>
        <w:pStyle w:val="normal"/>
        <w:numPr>
          <w:ilvl w:val="0"/>
          <w:numId w:val="23"/>
        </w:numPr>
        <w:spacing w:before="0" w:after="5" w:line="247" w:lineRule="auto"/>
        <w:ind w:left="1265" w:right="598" w:hanging="360"/>
      </w:pPr>
      <w:r>
        <w:rPr/>
        <w:t xml:space="preserve">Il sera mis en place un système de suivi</w:t>
      </w:r>
      <w:r>
        <w:rPr/>
        <w:t xml:space="preserve">-</w:t>
      </w:r>
      <w:r>
        <w:rPr/>
        <w:t xml:space="preserve">évaluation</w:t>
      </w:r>
      <w:r>
        <w:rPr/>
        <w:t xml:space="preserve"> </w:t>
      </w:r>
      <w:r>
        <w:rPr/>
        <w:t xml:space="preserve">qui permettra</w:t>
      </w:r>
      <w:r>
        <w:rPr/>
        <w:t xml:space="preserve">:</w:t>
      </w:r>
      <w:r>
        <w:rPr>
          <w:sz w:val="24"/>
        </w:rPr>
        <w:t xml:space="preserve"> </w:t>
      </w:r>
    </w:p>
    <w:p>
      <w:pPr>
        <w:pStyle w:val="normal"/>
        <w:numPr>
          <w:ilvl w:val="2"/>
          <w:numId w:val="24"/>
        </w:numPr>
        <w:spacing w:before="0" w:after="46" w:line="247" w:lineRule="auto"/>
        <w:ind w:left="1985" w:right="598" w:hanging="360"/>
      </w:pPr>
      <w:r>
        <w:rPr/>
        <w:t xml:space="preserve">d‟impliquer les collectivités territoriales et les communautés bénéficiaires afin qu‟elles s'approprient la réalisation des résultats et s‟engagent à</w:t>
      </w:r>
      <w:r>
        <w:rPr/>
        <w:t xml:space="preserve"> </w:t>
      </w:r>
      <w:r>
        <w:rPr/>
        <w:t xml:space="preserve">les renforcer</w:t>
      </w:r>
      <w:r>
        <w:rPr/>
        <w:t xml:space="preserve">;</w:t>
      </w:r>
      <w:r>
        <w:rPr>
          <w:sz w:val="24"/>
        </w:rPr>
        <w:t xml:space="preserve"> </w:t>
      </w:r>
    </w:p>
    <w:p>
      <w:pPr>
        <w:pStyle w:val="normal"/>
        <w:numPr>
          <w:ilvl w:val="2"/>
          <w:numId w:val="24"/>
        </w:numPr>
        <w:spacing w:before="0" w:after="56" w:line="247" w:lineRule="auto"/>
        <w:ind w:left="1985" w:right="598" w:hanging="360"/>
      </w:pPr>
      <w:r>
        <w:rPr/>
        <w:t xml:space="preserve">d‟illustrer le succès des résultats de développement, de montrer ce qu‟ils apportent aux populations ciblées</w:t>
      </w:r>
      <w:r>
        <w:rPr/>
        <w:t xml:space="preserve">; </w:t>
      </w:r>
      <w:r>
        <w:rPr>
          <w:sz w:val="24"/>
        </w:rPr>
        <w:t xml:space="preserve"> </w:t>
      </w:r>
    </w:p>
    <w:p>
      <w:pPr>
        <w:pStyle w:val="normal"/>
        <w:numPr>
          <w:ilvl w:val="2"/>
          <w:numId w:val="24"/>
        </w:numPr>
        <w:spacing w:before="0" w:after="42" w:line="247" w:lineRule="auto"/>
        <w:ind w:left="1985" w:right="598" w:hanging="360"/>
      </w:pPr>
      <w:r>
        <w:rPr/>
        <w:t xml:space="preserve">de susciter et maintenir l‟engagement des bénéficiaires et d‟autres parties prenantes afin de répondre aux défis opérationnels rencontrés</w:t>
      </w:r>
      <w:r>
        <w:rPr/>
        <w:t xml:space="preserve">;</w:t>
      </w:r>
      <w:r>
        <w:rPr>
          <w:sz w:val="24"/>
        </w:rPr>
        <w:t xml:space="preserve"> </w:t>
      </w:r>
    </w:p>
    <w:p>
      <w:pPr>
        <w:pStyle w:val="normal"/>
        <w:numPr>
          <w:ilvl w:val="2"/>
          <w:numId w:val="24"/>
        </w:numPr>
        <w:spacing w:before="0" w:after="54" w:line="247" w:lineRule="auto"/>
        <w:ind w:left="1985" w:right="598" w:hanging="360"/>
      </w:pPr>
      <w:r>
        <w:rPr/>
        <w:t xml:space="preserve">d‟entretenir une culture de suivi inclusive et axée sur les résultats de développement fixés</w:t>
      </w:r>
      <w:r>
        <w:rPr/>
        <w:t xml:space="preserve"> </w:t>
      </w:r>
      <w:r>
        <w:rPr/>
        <w:t xml:space="preserve">de commun accord</w:t>
      </w:r>
      <w:r>
        <w:rPr/>
        <w:t xml:space="preserve">;</w:t>
      </w:r>
      <w:r>
        <w:rPr>
          <w:sz w:val="24"/>
        </w:rPr>
        <w:t xml:space="preserve"> </w:t>
      </w:r>
    </w:p>
    <w:p>
      <w:pPr>
        <w:pStyle w:val="normal"/>
        <w:numPr>
          <w:ilvl w:val="2"/>
          <w:numId w:val="24"/>
        </w:numPr>
        <w:spacing w:before="0" w:after="5" w:line="247" w:lineRule="auto"/>
        <w:ind w:left="1985" w:right="598" w:hanging="360"/>
      </w:pPr>
      <w:r>
        <w:rPr/>
        <w:t xml:space="preserve">d‟alimenter l‟apprentissage collectif et la prise de décisions</w:t>
      </w:r>
      <w:r>
        <w:rPr/>
        <w:t xml:space="preserve">;</w:t>
      </w:r>
      <w:r>
        <w:rPr>
          <w:sz w:val="24"/>
        </w:rPr>
        <w:t xml:space="preserve"> </w:t>
      </w:r>
    </w:p>
    <w:p>
      <w:pPr>
        <w:pStyle w:val="normal"/>
        <w:numPr>
          <w:ilvl w:val="2"/>
          <w:numId w:val="24"/>
        </w:numPr>
        <w:spacing w:before="0" w:after="5" w:line="297" w:lineRule="auto"/>
        <w:ind w:left="1985" w:right="598" w:hanging="360"/>
      </w:pPr>
      <w:r>
        <w:rPr/>
        <w:t xml:space="preserve">de collecter et analyser les données liées aux activités du projet;</w:t>
      </w:r>
      <w:r>
        <w:rPr>
          <w:sz w:val="24"/>
        </w:rPr>
        <w:t xml:space="preserve"> </w:t>
      </w:r>
      <w:r>
        <w:rPr>
          <w:rFonts w:cs="Times New Roman" w:hAnsi="Times New Roman" w:eastAsia="Times New Roman" w:ascii="Times New Roman"/>
          <w:b w:val="1"/>
          <w:sz w:val="24"/>
        </w:rPr>
        <w:t xml:space="preserve">-</w:t>
      </w:r>
      <w:r>
        <w:rPr>
          <w:rFonts w:cs="Arial" w:hAnsi="Arial" w:eastAsia="Arial" w:ascii="Arial"/>
          <w:b w:val="1"/>
          <w:sz w:val="24"/>
        </w:rPr>
        <w:t xml:space="preserve"> 	</w:t>
      </w:r>
      <w:r>
        <w:rPr/>
        <w:t xml:space="preserve">de fournir les données nécessaires à l‟alimentation de l‟Observatoire;</w:t>
      </w:r>
      <w:r>
        <w:rPr>
          <w:sz w:val="24"/>
        </w:rPr>
        <w:t xml:space="preserve"> </w:t>
      </w:r>
    </w:p>
    <w:p>
      <w:pPr>
        <w:pStyle w:val="normal"/>
        <w:numPr>
          <w:ilvl w:val="2"/>
          <w:numId w:val="24"/>
        </w:numPr>
        <w:spacing w:before="0" w:after="5" w:line="247" w:lineRule="auto"/>
        <w:ind w:left="1985" w:right="598" w:hanging="360"/>
      </w:pPr>
      <w:r>
        <w:rPr/>
        <w:t xml:space="preserve">de renseigner les indicateurs qui seront retenus dans la cadre de la mise en œuvre du projet</w:t>
      </w:r>
      <w:r>
        <w:rPr/>
        <w:t xml:space="preserve"> </w:t>
      </w:r>
      <w:r>
        <w:rPr>
          <w:sz w:val="24"/>
        </w:rPr>
        <w:t xml:space="preserve"> </w:t>
      </w:r>
    </w:p>
    <w:p>
      <w:pPr>
        <w:pStyle w:val="normal"/>
        <w:numPr>
          <w:ilvl w:val="2"/>
          <w:numId w:val="24"/>
        </w:numPr>
        <w:spacing w:before="0" w:after="5" w:line="247" w:lineRule="auto"/>
        <w:ind w:left="1985" w:right="598" w:hanging="360"/>
      </w:pPr>
      <w:r>
        <w:rPr/>
        <w:t xml:space="preserve">de mesurer les effets réels du projet sur les populations bénéficiaires</w:t>
      </w:r>
      <w:r>
        <w:rPr>
          <w:sz w:val="24"/>
        </w:rPr>
        <w:t xml:space="preserve"> </w:t>
      </w:r>
    </w:p>
    <w:p>
      <w:pPr>
        <w:spacing w:before="0" w:after="0" w:line="259" w:lineRule="auto"/>
        <w:ind w:left="1985" w:firstLine="0"/>
        <w:jc w:val="left"/>
      </w:pPr>
      <w:r>
        <w:rPr>
          <w:sz w:val="24"/>
        </w:rPr>
        <w:t xml:space="preserve"> </w:t>
      </w:r>
    </w:p>
    <w:p>
      <w:pPr>
        <w:pStyle w:val="normal"/>
        <w:numPr>
          <w:ilvl w:val="0"/>
          <w:numId w:val="23"/>
        </w:numPr>
        <w:spacing w:before="0" w:after="5" w:line="247" w:lineRule="auto"/>
        <w:ind w:left="1265" w:right="598" w:hanging="360"/>
      </w:pPr>
      <w:r>
        <w:rPr/>
        <w:t xml:space="preserve">Une situation de référence</w:t>
      </w:r>
      <w:r>
        <w:rPr/>
        <w:t xml:space="preserve"> </w:t>
      </w:r>
      <w:r>
        <w:rPr/>
        <w:t xml:space="preserve">sera préparée au</w:t>
      </w:r>
      <w:r>
        <w:rPr/>
        <w:t xml:space="preserve"> </w:t>
      </w:r>
      <w:r>
        <w:rPr/>
        <w:t xml:space="preserve">début du projet</w:t>
      </w:r>
      <w:r>
        <w:rPr/>
        <w:t xml:space="preserve"> </w:t>
      </w:r>
      <w:r>
        <w:rPr/>
        <w:t xml:space="preserve">pour mieux affiner les valeurs de</w:t>
      </w:r>
      <w:r>
        <w:rPr/>
        <w:t xml:space="preserve"> </w:t>
      </w:r>
      <w:r>
        <w:rPr/>
        <w:t xml:space="preserve">références et les cibles des indicateurs. Elle permettra aussi de prendre en compte certains indicateurs que les porteurs des initiatives accompagnées jugent importantes pour l‟évaluation de l‟action.</w:t>
      </w:r>
      <w:r>
        <w:rPr/>
        <w:t xml:space="preserve"> </w:t>
      </w:r>
      <w:r>
        <w:rPr/>
        <w:t xml:space="preserve">Les fonctions du suivi et</w:t>
      </w:r>
      <w:r>
        <w:rPr/>
        <w:t xml:space="preserve"> </w:t>
      </w:r>
      <w:r>
        <w:rPr/>
        <w:t xml:space="preserve">d‟évaluation du projet seront surtout assurées par l‟équipe de projet</w:t>
      </w:r>
      <w:r>
        <w:rPr/>
        <w:t xml:space="preserve"> </w:t>
      </w:r>
      <w:r>
        <w:rPr/>
        <w:t xml:space="preserve">sous la supervision du comité de pilotage</w:t>
      </w:r>
      <w:r>
        <w:rPr/>
        <w:t xml:space="preserve">, </w:t>
      </w:r>
      <w:r>
        <w:rPr/>
        <w:t xml:space="preserve">de la Direction Générale de la Coopération</w:t>
      </w:r>
      <w:r>
        <w:rPr/>
        <w:t xml:space="preserve"> </w:t>
      </w:r>
      <w:r>
        <w:rPr/>
        <w:t xml:space="preserve">et du PNUD. Les procédures et standards utilisés seront ceux du PNUD en rapport avec les indicateurs retenus dans le</w:t>
      </w:r>
      <w:r>
        <w:rPr/>
        <w:t xml:space="preserve"> </w:t>
      </w:r>
      <w:r>
        <w:rPr/>
        <w:t xml:space="preserve">cadre de résultats du projet</w:t>
      </w:r>
      <w:r>
        <w:rPr/>
        <w:t xml:space="preserve">. </w:t>
      </w:r>
      <w:r>
        <w:rPr/>
        <w:t xml:space="preserve">Le système de suivi</w:t>
      </w:r>
      <w:r>
        <w:rPr/>
        <w:t xml:space="preserve"/>
      </w:r>
      <w:r>
        <w:rPr/>
        <w:t xml:space="preserve">évaluation permettra de renseigner les produits, les effets escomptés et l‟évolution du contexte (risques et opportunités). </w:t>
      </w:r>
      <w:r>
        <w:rPr/>
        <w:t xml:space="preserve"> </w:t>
      </w:r>
      <w:r>
        <w:rPr/>
        <w:t xml:space="preserve">Elle sera précédée par une mise à niveau de l‟équipe du projet et des principales structures de mise en œuvre sur les outils de la gestion axée sur les résultats.</w:t>
      </w:r>
      <w:r>
        <w:rPr>
          <w:sz w:val="24"/>
        </w:rPr>
        <w:t xml:space="preserve"> </w:t>
      </w:r>
    </w:p>
    <w:p>
      <w:pPr>
        <w:spacing w:before="0" w:after="0" w:line="259" w:lineRule="auto"/>
        <w:ind w:left="915" w:firstLine="0"/>
        <w:jc w:val="left"/>
      </w:pPr>
      <w:r>
        <w:rPr>
          <w:sz w:val="24"/>
        </w:rPr>
        <w:t xml:space="preserve"> </w:t>
      </w:r>
    </w:p>
    <w:p>
      <w:pPr>
        <w:pStyle w:val="normal"/>
        <w:numPr>
          <w:ilvl w:val="0"/>
          <w:numId w:val="23"/>
        </w:numPr>
        <w:spacing w:before="0" w:after="40" w:line="247" w:lineRule="auto"/>
        <w:ind w:left="1265" w:right="598" w:hanging="360"/>
      </w:pPr>
      <w:r>
        <w:rPr/>
        <w:t xml:space="preserve">Le tableau ci</w:t>
      </w:r>
      <w:r>
        <w:rPr/>
        <w:t xml:space="preserve">-</w:t>
      </w:r>
      <w:r>
        <w:rPr/>
        <w:t xml:space="preserve">dessous indique les activités indicatives du suivi</w:t>
      </w:r>
      <w:r>
        <w:rPr/>
        <w:t xml:space="preserve">-</w:t>
      </w:r>
      <w:r>
        <w:rPr/>
        <w:t xml:space="preserve">évaluation</w:t>
      </w:r>
      <w:r>
        <w:rPr/>
        <w:t xml:space="preserve"> </w:t>
      </w:r>
      <w:r>
        <w:rPr/>
        <w:t xml:space="preserve">ainsi que les parties </w:t>
      </w:r>
    </w:p>
    <w:p>
      <w:pPr>
        <w:pStyle w:val="normal"/>
        <w:spacing w:before="0" w:after="5" w:line="247" w:lineRule="auto"/>
        <w:ind w:left="1275" w:right="598"/>
      </w:pPr>
      <w:r>
        <w:rPr/>
        <w:t xml:space="preserve">responsables</w:t>
      </w:r>
      <w:r>
        <w:rPr/>
        <w:t xml:space="preserve">.</w:t>
      </w:r>
      <w:r>
        <w:rPr/>
        <w:t xml:space="preserve"> </w:t>
      </w:r>
      <w:r>
        <w:rPr/>
        <w:t xml:space="preserve">(Voir pour plus de détails l‟annexe 4, Plan annuel 2011 de suivi et évaluation)</w:t>
      </w:r>
      <w:r>
        <w:rPr>
          <w:sz w:val="24"/>
        </w:rPr>
        <w:t xml:space="preserve"> </w:t>
      </w:r>
    </w:p>
    <w:p>
      <w:pPr>
        <w:spacing w:before="0" w:after="0" w:line="259" w:lineRule="auto"/>
        <w:ind w:left="194" w:firstLine="0"/>
        <w:jc w:val="left"/>
      </w:pPr>
      <w:r>
        <w:rPr>
          <w:sz w:val="24"/>
        </w:rPr>
        <w:t xml:space="preserve"> </w:t>
      </w:r>
    </w:p>
    <w:tbl>
      <w:tblPr>
        <w:tblStyle w:val="TableGrid"/>
        <w:tblW w:w="9578" w:type="dxa"/>
        <w:tblInd w:w="89" w:type="dxa"/>
        <w:tblCellMar>
          <w:top w:w="7" w:type="dxa"/>
          <w:left w:w="106" w:type="dxa"/>
          <w:bottom w:w="0" w:type="dxa"/>
          <w:right w:w="77" w:type="dxa"/>
        </w:tblCellMar>
      </w:tblPr>
      <w:tblGrid>
        <w:gridCol w:w="3457"/>
        <w:gridCol w:w="2410"/>
        <w:gridCol w:w="3711"/>
      </w:tblGrid>
      <w:tr>
        <w:trPr>
          <w:trHeight w:val="240"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right="34" w:firstLine="0"/>
              <w:jc w:val="center"/>
            </w:pPr>
            <w:r>
              <w:rPr>
                <w:rFonts w:cs="Times New Roman" w:hAnsi="Times New Roman" w:eastAsia="Times New Roman" w:ascii="Times New Roman"/>
                <w:b w:val="1"/>
                <w:sz w:val="20"/>
              </w:rPr>
              <w:t xml:space="preserve">Activités</w:t>
            </w:r>
            <w:r>
              <w:rPr>
                <w:rFonts w:cs="Times New Roman" w:hAnsi="Times New Roman" w:eastAsia="Times New Roman" w:ascii="Times New Roman"/>
                <w:b w:val="1"/>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right="36" w:firstLine="0"/>
              <w:jc w:val="center"/>
            </w:pPr>
            <w:r>
              <w:rPr>
                <w:rFonts w:cs="Times New Roman" w:hAnsi="Times New Roman" w:eastAsia="Times New Roman" w:ascii="Times New Roman"/>
                <w:b w:val="1"/>
                <w:sz w:val="20"/>
              </w:rPr>
              <w:t xml:space="preserve">Responsable</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principal</w:t>
            </w:r>
            <w:r>
              <w:rPr>
                <w:rFonts w:cs="Times New Roman" w:hAnsi="Times New Roman" w:eastAsia="Times New Roman" w:ascii="Times New Roman"/>
                <w:b w:val="1"/>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59" w:lineRule="auto"/>
              <w:ind w:left="0" w:right="30" w:firstLine="0"/>
              <w:jc w:val="center"/>
            </w:pPr>
            <w:r>
              <w:rPr>
                <w:rFonts w:cs="Times New Roman" w:hAnsi="Times New Roman" w:eastAsia="Times New Roman" w:ascii="Times New Roman"/>
                <w:b w:val="1"/>
                <w:sz w:val="20"/>
              </w:rPr>
              <w:t xml:space="preserve">Périodicité</w:t>
            </w:r>
            <w:r>
              <w:rPr>
                <w:rFonts w:cs="Times New Roman" w:hAnsi="Times New Roman" w:eastAsia="Times New Roman" w:ascii="Times New Roman"/>
                <w:b w:val="1"/>
                <w:sz w:val="20"/>
              </w:rPr>
              <w:t xml:space="preserve">  </w:t>
            </w:r>
          </w:p>
        </w:tc>
      </w:tr>
      <w:tr>
        <w:trPr>
          <w:trHeight w:val="240"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right="38" w:firstLine="0"/>
              <w:jc w:val="center"/>
            </w:pPr>
            <w:r>
              <w:rPr>
                <w:sz w:val="20"/>
              </w:rPr>
              <w:t xml:space="preserve">Rapport trimestriel d‟activités (QORs)</w:t>
            </w:r>
            <w:r>
              <w:rPr>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sz w:val="20"/>
              </w:rPr>
              <w:t xml:space="preserve">Unité de coordination</w:t>
            </w:r>
            <w:r>
              <w:rPr>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59" w:lineRule="auto"/>
              <w:ind w:left="0" w:right="32" w:firstLine="0"/>
              <w:jc w:val="center"/>
            </w:pPr>
            <w:r>
              <w:rPr>
                <w:sz w:val="20"/>
              </w:rPr>
              <w:t xml:space="preserve">Trimestrielle</w:t>
            </w:r>
            <w:r>
              <w:rPr>
                <w:sz w:val="20"/>
              </w:rPr>
              <w:t xml:space="preserve"> </w:t>
            </w:r>
          </w:p>
        </w:tc>
      </w:tr>
      <w:tr>
        <w:trPr>
          <w:trHeight w:val="470"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Rapport annuel d‟avancement des projets et programmes</w:t>
            </w:r>
            <w:r>
              <w:rPr>
                <w:sz w:val="20"/>
              </w:rPr>
              <w:t xml:space="preserve"> </w:t>
            </w:r>
            <w:r>
              <w:rPr>
                <w:sz w:val="20"/>
              </w:rPr>
              <w:t xml:space="preserve">(APRs) </w:t>
            </w:r>
            <w:r>
              <w:rPr>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59" w:lineRule="auto"/>
              <w:ind w:left="0" w:right="34" w:firstLine="0"/>
              <w:jc w:val="center"/>
            </w:pPr>
            <w:r>
              <w:rPr>
                <w:sz w:val="20"/>
              </w:rPr>
              <w:t xml:space="preserve">Annuelle</w:t>
            </w:r>
            <w:r>
              <w:rPr>
                <w:sz w:val="20"/>
              </w:rPr>
              <w:t xml:space="preserve"> </w:t>
            </w:r>
          </w:p>
        </w:tc>
      </w:tr>
      <w:tr>
        <w:trPr>
          <w:trHeight w:val="931"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right="36" w:firstLine="0"/>
              <w:jc w:val="center"/>
            </w:pPr>
            <w:r>
              <w:rPr>
                <w:sz w:val="20"/>
              </w:rPr>
              <w:t xml:space="preserve">Réunion du Comité de pilotage</w:t>
            </w:r>
            <w:r>
              <w:rPr>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right="36" w:firstLine="0"/>
              <w:jc w:val="center"/>
            </w:pPr>
            <w:r>
              <w:rPr>
                <w:sz w:val="20"/>
              </w:rPr>
              <w:t xml:space="preserve">MEDD</w:t>
            </w:r>
            <w:r>
              <w:rPr>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40" w:lineRule="auto"/>
              <w:ind w:left="0" w:firstLine="0"/>
              <w:jc w:val="center"/>
            </w:pPr>
            <w:r>
              <w:rPr>
                <w:sz w:val="20"/>
              </w:rPr>
              <w:t xml:space="preserve">Une session en début d‟année pour examiner les rapports et une session en fin d‟année pour valider le plan de travail </w:t>
            </w:r>
          </w:p>
          <w:p>
            <w:pPr>
              <w:spacing w:before="0" w:after="0" w:line="259" w:lineRule="auto"/>
              <w:ind w:left="0" w:right="32" w:firstLine="0"/>
              <w:jc w:val="center"/>
            </w:pPr>
            <w:r>
              <w:rPr>
                <w:sz w:val="20"/>
              </w:rPr>
              <w:t xml:space="preserve">annuel</w:t>
            </w:r>
            <w:r>
              <w:rPr>
                <w:sz w:val="20"/>
              </w:rPr>
              <w:t xml:space="preserve"> </w:t>
            </w:r>
          </w:p>
        </w:tc>
      </w:tr>
      <w:tr>
        <w:trPr>
          <w:trHeight w:val="240"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right="33" w:firstLine="0"/>
              <w:jc w:val="center"/>
            </w:pPr>
            <w:r>
              <w:rPr>
                <w:sz w:val="20"/>
              </w:rPr>
              <w:t xml:space="preserve">Auto</w:t>
            </w:r>
            <w:r>
              <w:rPr>
                <w:sz w:val="20"/>
              </w:rPr>
              <w:t xml:space="preserve">-</w:t>
            </w:r>
            <w:r>
              <w:rPr>
                <w:sz w:val="20"/>
              </w:rPr>
              <w:t xml:space="preserve">évaluation assistée à mi</w:t>
            </w:r>
            <w:r>
              <w:rPr>
                <w:sz w:val="20"/>
              </w:rPr>
              <w:t xml:space="preserve">-</w:t>
            </w:r>
            <w:r>
              <w:rPr>
                <w:sz w:val="20"/>
              </w:rPr>
              <w:t xml:space="preserve">parcours</w:t>
            </w:r>
            <w:r>
              <w:rPr>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right="36" w:firstLine="0"/>
              <w:jc w:val="center"/>
            </w:pPr>
            <w:r>
              <w:rPr>
                <w:sz w:val="20"/>
              </w:rPr>
              <w:t xml:space="preserve">MEDD</w:t>
            </w:r>
            <w:r>
              <w:rPr>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59" w:lineRule="auto"/>
              <w:ind w:left="22" w:firstLine="0"/>
              <w:jc w:val="left"/>
            </w:pPr>
            <w:r>
              <w:rPr>
                <w:sz w:val="20"/>
              </w:rPr>
              <w:t xml:space="preserve">Après deux ans de mise en œuvre du projet</w:t>
            </w:r>
            <w:r>
              <w:rPr>
                <w:sz w:val="20"/>
              </w:rPr>
              <w:t xml:space="preserve"> </w:t>
            </w:r>
          </w:p>
        </w:tc>
      </w:tr>
      <w:tr>
        <w:trPr>
          <w:trHeight w:val="468"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Evaluation</w:t>
            </w:r>
            <w:r>
              <w:rPr>
                <w:sz w:val="20"/>
              </w:rPr>
              <w:t xml:space="preserve"> </w:t>
            </w:r>
            <w:r>
              <w:rPr>
                <w:sz w:val="20"/>
              </w:rPr>
              <w:t xml:space="preserve">indépendante à mi</w:t>
            </w:r>
            <w:r>
              <w:rPr>
                <w:sz w:val="20"/>
              </w:rPr>
              <w:t xml:space="preserve">-</w:t>
            </w:r>
            <w:r>
              <w:rPr>
                <w:sz w:val="20"/>
              </w:rPr>
              <w:t xml:space="preserve">parcours finale</w:t>
            </w:r>
            <w:r>
              <w:rPr>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Comité de Pilotage</w:t>
            </w:r>
            <w:r>
              <w:rPr>
                <w:sz w:val="20"/>
              </w:rPr>
              <w:t xml:space="preserve"> &amp; </w:t>
            </w:r>
            <w:r>
              <w:rPr>
                <w:sz w:val="20"/>
              </w:rPr>
              <w:t xml:space="preserve">MEF</w:t>
            </w:r>
            <w:r>
              <w:rPr>
                <w:sz w:val="20"/>
              </w:rPr>
              <w:t xml:space="preserve">, </w:t>
            </w:r>
            <w:r>
              <w:rPr>
                <w:sz w:val="20"/>
              </w:rPr>
              <w:t xml:space="preserve">PNUD</w:t>
            </w:r>
            <w:r>
              <w:rPr>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59" w:lineRule="auto"/>
              <w:ind w:left="0" w:right="31" w:firstLine="0"/>
              <w:jc w:val="center"/>
            </w:pPr>
            <w:r>
              <w:rPr>
                <w:sz w:val="20"/>
              </w:rPr>
              <w:t xml:space="preserve">A mi</w:t>
            </w:r>
            <w:r>
              <w:rPr>
                <w:sz w:val="20"/>
              </w:rPr>
              <w:t xml:space="preserve">-</w:t>
            </w:r>
            <w:r>
              <w:rPr>
                <w:sz w:val="20"/>
              </w:rPr>
              <w:t xml:space="preserve">parcours </w:t>
            </w:r>
            <w:r>
              <w:rPr>
                <w:sz w:val="20"/>
              </w:rPr>
              <w:t xml:space="preserve"> </w:t>
            </w:r>
          </w:p>
        </w:tc>
      </w:tr>
      <w:tr>
        <w:trPr>
          <w:trHeight w:val="701" w:hRule="atLeast"/>
        </w:trPr>
        <w:tc>
          <w:tcPr>
            <w:tcW w:w="345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center"/>
            </w:pPr>
            <w:r>
              <w:rPr>
                <w:sz w:val="20"/>
              </w:rPr>
              <w:t xml:space="preserve">Evaluation indépendante finale</w:t>
            </w:r>
            <w:r>
              <w:rPr>
                <w:sz w:val="20"/>
              </w:rPr>
              <w:t xml:space="preserve"> </w:t>
            </w:r>
          </w:p>
        </w:tc>
        <w:tc>
          <w:tcPr>
            <w:tcW w:w="2410" w:type="dxa"/>
            <w:tcBorders>
              <w:top w:val="single" w:sz="4" w:color="000000"/>
              <w:left w:val="single" w:sz="4" w:color="000000"/>
              <w:bottom w:val="single" w:sz="4" w:color="000000"/>
              <w:right w:val="single" w:sz="4" w:color="000000"/>
            </w:tcBorders>
            <w:vAlign w:val="top"/>
          </w:tcPr>
          <w:p>
            <w:pPr>
              <w:spacing w:before="0" w:after="0" w:line="259" w:lineRule="auto"/>
              <w:ind w:left="0" w:right="33" w:firstLine="0"/>
              <w:jc w:val="center"/>
            </w:pPr>
            <w:r>
              <w:rPr>
                <w:sz w:val="20"/>
              </w:rPr>
              <w:t xml:space="preserve">Comité de Pilotage &amp;</w:t>
            </w:r>
            <w:r>
              <w:rPr>
                <w:sz w:val="20"/>
              </w:rPr>
              <w:t xml:space="preserve"> </w:t>
            </w:r>
          </w:p>
          <w:p>
            <w:pPr>
              <w:spacing w:before="0" w:after="0" w:line="259" w:lineRule="auto"/>
              <w:ind w:left="0" w:right="34" w:firstLine="0"/>
              <w:jc w:val="center"/>
            </w:pPr>
            <w:r>
              <w:rPr>
                <w:sz w:val="20"/>
              </w:rPr>
              <w:t xml:space="preserve">MEF</w:t>
            </w:r>
            <w:r>
              <w:rPr>
                <w:sz w:val="20"/>
              </w:rPr>
              <w:t xml:space="preserve">,</w:t>
            </w:r>
            <w:r>
              <w:rPr>
                <w:sz w:val="20"/>
              </w:rPr>
              <w:t xml:space="preserve"> </w:t>
            </w:r>
          </w:p>
          <w:p>
            <w:pPr>
              <w:spacing w:before="0" w:after="0" w:line="259" w:lineRule="auto"/>
              <w:ind w:left="0" w:right="36" w:firstLine="0"/>
              <w:jc w:val="center"/>
            </w:pPr>
            <w:r>
              <w:rPr>
                <w:sz w:val="20"/>
              </w:rPr>
              <w:t xml:space="preserve">PNUD</w:t>
            </w:r>
            <w:r>
              <w:rPr>
                <w:sz w:val="20"/>
              </w:rPr>
              <w:t xml:space="preserve"> </w:t>
            </w:r>
          </w:p>
        </w:tc>
        <w:tc>
          <w:tcPr>
            <w:tcW w:w="371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et à la fin de la mise en œuvre du sous</w:t>
            </w:r>
            <w:r>
              <w:rPr>
                <w:sz w:val="20"/>
              </w:rPr>
              <w:t xml:space="preserve"/>
            </w:r>
            <w:r>
              <w:rPr>
                <w:sz w:val="20"/>
              </w:rPr>
              <w:t xml:space="preserve">programme</w:t>
            </w:r>
            <w:r>
              <w:rPr>
                <w:sz w:val="20"/>
              </w:rPr>
              <w:t xml:space="preserve"> </w:t>
            </w:r>
          </w:p>
        </w:tc>
      </w:tr>
    </w:tbl>
    <w:p>
      <w:pPr>
        <w:spacing w:before="0" w:after="0" w:line="259" w:lineRule="auto"/>
        <w:ind w:left="0" w:firstLine="0"/>
        <w:jc w:val="left"/>
      </w:pPr>
      <w:r>
        <w:rPr>
          <w:sz w:val="24"/>
        </w:rPr>
        <w:t xml:space="preserve"> </w:t>
      </w:r>
      <w:r>
        <w:rPr/>
        <w:t xml:space="preserve"> </w:t>
      </w:r>
    </w:p>
    <w:p>
      <w:pPr>
        <w:pStyle w:val="normal"/>
        <w:numPr>
          <w:ilvl w:val="0"/>
          <w:numId w:val="23"/>
        </w:numPr>
        <w:spacing w:before="0" w:after="5" w:line="247" w:lineRule="auto"/>
        <w:ind w:left="1265" w:right="598" w:hanging="360"/>
      </w:pPr>
      <w:r>
        <w:rPr/>
        <w:t xml:space="preserve">Le plan de Suivi</w:t>
      </w:r>
      <w:r>
        <w:rPr/>
        <w:t xml:space="preserve">-</w:t>
      </w:r>
      <w:r>
        <w:rPr/>
        <w:t xml:space="preserve">évaluation fournira</w:t>
      </w:r>
      <w:r>
        <w:rPr/>
        <w:t xml:space="preserve"> </w:t>
      </w:r>
      <w:r>
        <w:rPr/>
        <w:t xml:space="preserve">les outils pour</w:t>
      </w:r>
      <w:r>
        <w:rPr/>
        <w:t xml:space="preserve"> </w:t>
      </w:r>
      <w:r>
        <w:rPr/>
        <w:t xml:space="preserve">:</w:t>
      </w:r>
      <w:r>
        <w:rPr/>
        <w:t xml:space="preserve"> </w:t>
      </w:r>
    </w:p>
    <w:p>
      <w:pPr>
        <w:pStyle w:val="normal"/>
        <w:numPr>
          <w:ilvl w:val="1"/>
          <w:numId w:val="23"/>
        </w:numPr>
        <w:spacing w:before="0" w:after="5" w:line="247" w:lineRule="auto"/>
        <w:ind w:left="1419" w:right="598" w:hanging="286"/>
      </w:pPr>
      <w:r>
        <w:rPr/>
        <w:t xml:space="preserve">Assurer une gestion du projet</w:t>
      </w:r>
      <w:r>
        <w:rPr/>
        <w:t xml:space="preserve"> </w:t>
      </w:r>
      <w:r>
        <w:rPr/>
        <w:t xml:space="preserve">orientée vers les résultats</w:t>
      </w:r>
      <w:r>
        <w:rPr/>
        <w:t xml:space="preserve"> ; </w:t>
      </w:r>
    </w:p>
    <w:p>
      <w:pPr>
        <w:pStyle w:val="normal"/>
        <w:numPr>
          <w:ilvl w:val="1"/>
          <w:numId w:val="23"/>
        </w:numPr>
        <w:spacing w:before="0" w:after="5" w:line="247" w:lineRule="auto"/>
        <w:ind w:left="1419" w:right="598" w:hanging="286"/>
      </w:pPr>
      <w:r>
        <w:rPr/>
        <w:t xml:space="preserve">Suivre et mesurer les produits, les effets et les impacts du développement durable en rapport avec les indicateurs définis</w:t>
      </w:r>
      <w:r>
        <w:rPr/>
        <w:t xml:space="preserve"> ; </w:t>
      </w:r>
    </w:p>
    <w:p>
      <w:pPr>
        <w:pStyle w:val="normal"/>
        <w:numPr>
          <w:ilvl w:val="1"/>
          <w:numId w:val="23"/>
        </w:numPr>
        <w:spacing w:before="0" w:after="5" w:line="247" w:lineRule="auto"/>
        <w:ind w:left="1419" w:right="598" w:hanging="286"/>
      </w:pPr>
      <w:r>
        <w:rPr/>
        <w:t xml:space="preserve">Garantir une participation effective de toutes les parties prenantes y compris la population locale</w:t>
      </w:r>
      <w:r>
        <w:rPr/>
        <w:t xml:space="preserve"> ; </w:t>
      </w:r>
    </w:p>
    <w:p>
      <w:pPr>
        <w:pStyle w:val="normal"/>
        <w:numPr>
          <w:ilvl w:val="1"/>
          <w:numId w:val="23"/>
        </w:numPr>
        <w:spacing w:before="0" w:after="32" w:line="247" w:lineRule="auto"/>
        <w:ind w:left="1419" w:right="598" w:hanging="286"/>
      </w:pPr>
      <w:r>
        <w:rPr/>
        <w:t xml:space="preserve">Mieux coordonner les interventions des partenaires sur le terrain.</w:t>
      </w:r>
      <w:r>
        <w:rPr/>
        <w:t xml:space="preserve"> </w:t>
      </w:r>
    </w:p>
    <w:p>
      <w:pPr>
        <w:pStyle w:val="normal"/>
        <w:numPr>
          <w:ilvl w:val="1"/>
          <w:numId w:val="23"/>
        </w:numPr>
        <w:spacing w:before="0" w:after="5" w:line="247" w:lineRule="auto"/>
        <w:ind w:left="1419" w:right="598" w:hanging="286"/>
      </w:pPr>
      <w:r>
        <w:rPr/>
        <w:t xml:space="preserve">Faciliter l‟apprentissage et la gestion des connaissances</w:t>
      </w:r>
      <w:r>
        <w:rPr/>
        <w:t xml:space="preserve"> </w:t>
      </w:r>
    </w:p>
    <w:p>
      <w:pPr>
        <w:pStyle w:val="normal"/>
        <w:numPr>
          <w:ilvl w:val="0"/>
          <w:numId w:val="23"/>
        </w:numPr>
        <w:spacing w:before="0" w:after="192" w:line="247" w:lineRule="auto"/>
        <w:ind w:left="1265" w:right="598" w:hanging="360"/>
      </w:pPr>
      <w:r>
        <w:rPr/>
        <w:t xml:space="preserve">A partir des études de base réalisées au  démarrage du projet et en accord avec les règles et procédures du POPP du PNUD, le Coordonnateur National du projet mettra en place un système de suivi/évaluation interne des activités du projet. </w:t>
      </w:r>
      <w:r>
        <w:rPr/>
        <w:t xml:space="preserve"> </w:t>
      </w:r>
    </w:p>
    <w:p>
      <w:pPr>
        <w:spacing w:before="0" w:after="0" w:line="259" w:lineRule="auto"/>
        <w:ind w:left="718"/>
        <w:jc w:val="left"/>
      </w:pPr>
      <w:r>
        <w:rPr>
          <w:u w:val="single" w:color="000000"/>
        </w:rPr>
        <w:t xml:space="preserve">Rapports obligatoires.</w:t>
      </w:r>
      <w:r>
        <w:rPr/>
        <w:t xml:space="preserve"> </w:t>
      </w:r>
    </w:p>
    <w:p>
      <w:pPr>
        <w:spacing w:before="0" w:after="0" w:line="259" w:lineRule="auto"/>
        <w:ind w:left="0" w:firstLine="0"/>
        <w:jc w:val="left"/>
      </w:pPr>
      <w:r>
        <w:rPr/>
        <w:t xml:space="preserve"> </w:t>
      </w:r>
    </w:p>
    <w:p>
      <w:pPr>
        <w:pStyle w:val="normal"/>
        <w:spacing w:before="0" w:after="5" w:line="247" w:lineRule="auto"/>
        <w:ind w:left="706" w:right="598"/>
      </w:pPr>
      <w:r>
        <w:rPr/>
        <w:t xml:space="preserve">Le coordonnateur national   du projet</w:t>
      </w:r>
      <w:r>
        <w:rPr/>
        <w:t xml:space="preserve"> </w:t>
      </w:r>
      <w:r>
        <w:rPr/>
        <w:t xml:space="preserve">présentera</w:t>
      </w:r>
      <w:r>
        <w:rPr/>
        <w:t xml:space="preserve"> </w:t>
      </w:r>
      <w:r>
        <w:rPr/>
        <w:t xml:space="preserve">:</w:t>
      </w:r>
      <w:r>
        <w:rPr/>
        <w:t xml:space="preserve"> </w:t>
      </w:r>
    </w:p>
    <w:p>
      <w:pPr>
        <w:pStyle w:val="normal"/>
        <w:numPr>
          <w:ilvl w:val="0"/>
          <w:numId w:val="25"/>
        </w:numPr>
        <w:spacing w:before="0" w:after="224" w:line="247" w:lineRule="auto"/>
        <w:ind w:left="1056" w:right="598" w:hanging="360"/>
      </w:pPr>
      <w:r>
        <w:rPr/>
        <w:t xml:space="preserve">Tous les trois mois un rapport de progrès trimestriel selon les critères et  les méthodes de qualité prévus dans le format de Gestion axée sur les résultats.</w:t>
      </w:r>
      <w:r>
        <w:rPr/>
        <w:t xml:space="preserve"> </w:t>
      </w:r>
    </w:p>
    <w:p>
      <w:pPr>
        <w:pStyle w:val="normal"/>
        <w:numPr>
          <w:ilvl w:val="0"/>
          <w:numId w:val="25"/>
        </w:numPr>
        <w:spacing w:before="0" w:after="47" w:line="247" w:lineRule="auto"/>
        <w:ind w:left="1056" w:right="598" w:hanging="360"/>
      </w:pPr>
      <w:r>
        <w:rPr/>
        <w:t xml:space="preserve">Un rapport   semestriel préparé sur la base des rapports trimestriels consolidés </w:t>
      </w:r>
      <w:r>
        <w:rPr/>
        <w:t xml:space="preserve"> </w:t>
      </w:r>
    </w:p>
    <w:p>
      <w:pPr>
        <w:pStyle w:val="normal"/>
        <w:numPr>
          <w:ilvl w:val="0"/>
          <w:numId w:val="25"/>
        </w:numPr>
        <w:spacing w:before="0" w:after="5" w:line="247" w:lineRule="auto"/>
        <w:ind w:left="1056" w:right="598" w:hanging="360"/>
      </w:pPr>
      <w:r>
        <w:rPr/>
        <w:t xml:space="preserve">Et un rapport annuel du projet en fin d‟année, préparés sur la base des différents rapports trimestriels combinés et analysant  la contribution annuelle du projet aux résultats attendus du programme. </w:t>
      </w:r>
      <w:r>
        <w:rPr/>
        <w:t xml:space="preserve"> </w:t>
      </w:r>
    </w:p>
    <w:p>
      <w:pPr>
        <w:spacing w:before="0" w:after="0" w:line="259" w:lineRule="auto"/>
        <w:ind w:left="1779" w:firstLine="0"/>
        <w:jc w:val="left"/>
      </w:pPr>
      <w:r>
        <w:rPr/>
        <w:t xml:space="preserve"> </w:t>
      </w:r>
    </w:p>
    <w:p>
      <w:pPr>
        <w:spacing w:before="0" w:after="3" w:line="251" w:lineRule="auto"/>
        <w:ind w:left="703" w:right="551"/>
        <w:jc w:val="left"/>
      </w:pPr>
      <w:r>
        <w:rPr/>
        <w:t xml:space="preserve">Le Directeur National soumettra</w:t>
      </w:r>
      <w:r>
        <w:rPr/>
        <w:t xml:space="preserve"> </w:t>
      </w:r>
      <w:r>
        <w:rPr/>
        <w:t xml:space="preserve">tous les trimestres au Représentant Résident du PNUD</w:t>
      </w:r>
      <w:r>
        <w:rPr/>
        <w:t xml:space="preserve"> </w:t>
      </w:r>
      <w:r>
        <w:rPr/>
        <w:t xml:space="preserve">sous le Couvert du Directeur Général de la Coopération, le formulaire d‟Autorisation de Financement et Certificat de Dépenses (FACE) qui rend compte des dépenses cumulées par trimestre des fonds avancés par le PNUD.</w:t>
      </w:r>
      <w:r>
        <w:rPr/>
        <w:t xml:space="preserve">   </w:t>
      </w:r>
    </w:p>
    <w:p>
      <w:pPr>
        <w:spacing w:before="0" w:after="175" w:line="259" w:lineRule="auto"/>
        <w:ind w:left="0" w:firstLine="0"/>
        <w:jc w:val="left"/>
      </w:pPr>
      <w:r>
        <w:rPr/>
        <w:t xml:space="preserve"> </w:t>
      </w:r>
    </w:p>
    <w:p>
      <w:pPr>
        <w:pStyle w:val="normal"/>
        <w:spacing w:before="0" w:after="139" w:line="247" w:lineRule="auto"/>
        <w:ind w:left="1406" w:right="598" w:hanging="710"/>
      </w:pPr>
      <w:r>
        <w:rPr>
          <w:u w:val="single" w:color="000000"/>
        </w:rPr>
        <w:t xml:space="preserve">Outils de suivi</w:t>
      </w:r>
      <w:r>
        <w:rPr/>
        <w:t xml:space="preserve"> </w:t>
      </w:r>
      <w:r>
        <w:rPr>
          <w:rFonts w:cs="Courier New" w:hAnsi="Courier New" w:eastAsia="Courier New" w:ascii="Courier New"/>
        </w:rPr>
        <w:t xml:space="preserve">o</w:t>
      </w:r>
      <w:r>
        <w:rPr>
          <w:rFonts w:cs="Arial" w:hAnsi="Arial" w:eastAsia="Arial" w:ascii="Arial"/>
        </w:rPr>
        <w:t xml:space="preserve"> </w:t>
      </w:r>
      <w:r>
        <w:rPr/>
        <w:t xml:space="preserve">Un Journal des Problèmes devra être élaboré et mis à jour par le coordonnateur national afin de faciliter le suivi et la résolution des problèmes éventuels, ou de toute action de contrôle du changement. </w:t>
      </w:r>
      <w:r>
        <w:rPr/>
        <w:t xml:space="preserve"> </w:t>
      </w:r>
    </w:p>
    <w:p>
      <w:pPr>
        <w:pStyle w:val="normal"/>
        <w:numPr>
          <w:ilvl w:val="0"/>
          <w:numId w:val="25"/>
        </w:numPr>
        <w:spacing w:before="0" w:after="110" w:line="247" w:lineRule="auto"/>
        <w:ind w:left="1056" w:right="598" w:hanging="360"/>
      </w:pPr>
      <w:r>
        <w:rPr/>
        <w:t xml:space="preserve">Sur la base de l‟analyse initiale de risque, un journal des risques devra être élaboré et mis à jour régulièrement suite à la revue de l‟environnement externe dont certains changements pourraient affecter la mise en œuvre du projet.  </w:t>
      </w:r>
      <w:r>
        <w:rPr/>
        <w:t xml:space="preserve"> </w:t>
      </w:r>
    </w:p>
    <w:p>
      <w:pPr>
        <w:pStyle w:val="normal"/>
        <w:numPr>
          <w:ilvl w:val="0"/>
          <w:numId w:val="25"/>
        </w:numPr>
        <w:spacing w:before="0" w:after="190" w:line="247" w:lineRule="auto"/>
        <w:ind w:left="1056" w:right="598" w:hanging="360"/>
      </w:pPr>
      <w:r>
        <w:rPr/>
        <w:t xml:space="preserve">Un Journal des enseignements tirés devra aussi être élaboré et mis à jour régulièrement en vue d‟assurer un apprentissage continu et de faciliter l‟élaboration du rapport des Enseignements tirés en fin de projet. </w:t>
      </w:r>
      <w:r>
        <w:rPr/>
        <w:t xml:space="preserve"> </w:t>
      </w:r>
    </w:p>
    <w:p>
      <w:pPr>
        <w:pStyle w:val="heading4"/>
        <w:spacing w:before="0" w:after="0" w:line="259" w:lineRule="auto"/>
        <w:ind w:left="718"/>
      </w:pPr>
      <w:r>
        <w:rPr/>
        <w:t xml:space="preserve">Suivi effectué par le Comité de Pilotage du Projet</w:t>
      </w:r>
      <w:r>
        <w:rPr>
          <w:u w:val="none" w:color="000000"/>
        </w:rPr>
        <w:t xml:space="preserve"> </w:t>
      </w:r>
    </w:p>
    <w:p>
      <w:pPr>
        <w:spacing w:before="0" w:after="0" w:line="259" w:lineRule="auto"/>
        <w:ind w:left="720" w:firstLine="0"/>
        <w:jc w:val="left"/>
      </w:pPr>
      <w:r>
        <w:rPr/>
        <w:t xml:space="preserve"> </w:t>
      </w:r>
    </w:p>
    <w:p>
      <w:pPr>
        <w:pStyle w:val="normal"/>
        <w:spacing w:before="0" w:after="5" w:line="247" w:lineRule="auto"/>
        <w:ind w:left="706" w:right="790"/>
      </w:pPr>
      <w:r>
        <w:rPr/>
        <w:t xml:space="preserve">Sur la base des  rapports trimestriels consolidés,  le  comité de pilotage se réunit deux fois au moins dans l‟année. Il  s‟attachera à évaluer les progrès du projet</w:t>
      </w:r>
      <w:r>
        <w:rPr/>
        <w:t xml:space="preserve">  </w:t>
      </w:r>
      <w:r>
        <w:rPr/>
        <w:t xml:space="preserve">et sa contribution aux produits prévus. Dans la dernière année du projet, la réunion du dernier comité de pilotage devra constituer une revue finale du  projet</w:t>
      </w:r>
      <w:r>
        <w:rPr/>
        <w:t xml:space="preserve">.</w:t>
      </w:r>
      <w:r>
        <w:rPr/>
        <w:t xml:space="preserve"> </w:t>
      </w:r>
    </w:p>
    <w:p>
      <w:pPr>
        <w:spacing w:before="0" w:after="0" w:line="259" w:lineRule="auto"/>
        <w:ind w:left="0" w:firstLine="0"/>
        <w:jc w:val="left"/>
      </w:pPr>
      <w:r>
        <w:rPr/>
        <w:t xml:space="preserve"> </w:t>
      </w:r>
    </w:p>
    <w:p>
      <w:pPr>
        <w:spacing w:before="0" w:after="3" w:line="251" w:lineRule="auto"/>
        <w:ind w:left="703" w:right="551"/>
        <w:jc w:val="left"/>
      </w:pPr>
      <w:r>
        <w:rPr/>
        <w:t xml:space="preserve">Le Comité de Pilotage du Projet peut aussi être sollicité pour tout dépassement du seuil de tolérance par rapport au plan du projet (budget, activités, produits, autres), aggravation d‟un risque ou émergence d‟un problème majeur. </w:t>
      </w:r>
      <w:r>
        <w:rPr/>
        <w:t xml:space="preserve"> </w:t>
      </w:r>
    </w:p>
    <w:p>
      <w:pPr>
        <w:spacing w:before="0" w:after="177" w:line="259" w:lineRule="auto"/>
        <w:ind w:left="0" w:firstLine="0"/>
        <w:jc w:val="left"/>
      </w:pPr>
      <w:r>
        <w:rPr/>
        <w:t xml:space="preserve"> </w:t>
      </w:r>
    </w:p>
    <w:p>
      <w:pPr>
        <w:pStyle w:val="heading4"/>
        <w:spacing w:before="0" w:after="0" w:line="259" w:lineRule="auto"/>
        <w:ind w:left="718"/>
      </w:pPr>
      <w:r>
        <w:rPr/>
        <w:t xml:space="preserve">Evaluation</w:t>
      </w:r>
      <w:r>
        <w:rPr>
          <w:rFonts w:cs="Cambria" w:hAnsi="Cambria" w:eastAsia="Cambria" w:ascii="Cambria"/>
          <w:b w:val="1"/>
          <w:color w:val="4f81bd"/>
        </w:rPr>
        <w:t xml:space="preserve"> </w:t>
      </w:r>
      <w:r>
        <w:rPr/>
        <w:t xml:space="preserve">du</w:t>
      </w:r>
      <w:r>
        <w:rPr>
          <w:rFonts w:cs="Cambria" w:hAnsi="Cambria" w:eastAsia="Cambria" w:ascii="Cambria"/>
          <w:b w:val="1"/>
          <w:color w:val="4f81bd"/>
        </w:rPr>
        <w:t xml:space="preserve"> </w:t>
      </w:r>
      <w:r>
        <w:rPr/>
        <w:t xml:space="preserve">projet</w:t>
      </w:r>
      <w:r>
        <w:rPr>
          <w:rFonts w:cs="Cambria" w:hAnsi="Cambria" w:eastAsia="Cambria" w:ascii="Cambria"/>
          <w:b w:val="1"/>
          <w:color w:val="4f81bd"/>
          <w:u w:val="none" w:color="000000"/>
        </w:rPr>
        <w:t xml:space="preserve"> </w:t>
      </w:r>
    </w:p>
    <w:p>
      <w:pPr>
        <w:pStyle w:val="normal"/>
        <w:spacing w:before="0" w:after="5" w:line="247" w:lineRule="auto"/>
        <w:ind w:left="706" w:right="598"/>
      </w:pPr>
      <w:r>
        <w:rPr/>
        <w:t xml:space="preserve">Le projet</w:t>
      </w:r>
      <w:r>
        <w:rPr/>
        <w:t xml:space="preserve">  </w:t>
      </w:r>
      <w:r>
        <w:rPr/>
        <w:t xml:space="preserve">fera l‟objet d‟une évaluation à mi parcours et d‟une évaluation finale respectivement en 2013  et 2015. L‟évaluation finale du projet</w:t>
      </w:r>
      <w:r>
        <w:rPr/>
        <w:t xml:space="preserve"> </w:t>
      </w:r>
      <w:r>
        <w:rPr/>
        <w:t xml:space="preserve">aura lieu trois mois avant la fin du projet</w:t>
      </w:r>
      <w:r>
        <w:rPr/>
        <w:t xml:space="preserve">.</w:t>
      </w:r>
      <w:r>
        <w:rPr/>
        <w:t xml:space="preserve"> </w:t>
      </w:r>
    </w:p>
    <w:p>
      <w:pPr>
        <w:spacing w:before="0" w:after="0" w:line="259" w:lineRule="auto"/>
        <w:ind w:left="360" w:firstLine="0"/>
        <w:jc w:val="left"/>
      </w:pPr>
      <w:r>
        <w:rPr/>
        <w:t xml:space="preserve"> </w:t>
      </w:r>
    </w:p>
    <w:p>
      <w:pPr>
        <w:spacing w:before="0" w:after="0" w:line="259" w:lineRule="auto"/>
        <w:ind w:left="0" w:firstLine="0"/>
        <w:jc w:val="left"/>
      </w:pPr>
      <w:r>
        <w:rPr>
          <w:rFonts w:cs="Times New Roman" w:hAnsi="Times New Roman" w:eastAsia="Times New Roman" w:ascii="Times New Roman"/>
          <w:b w:val="1"/>
        </w:rPr>
        <w:t xml:space="preserve"> 	</w:t>
      </w:r>
      <w:r>
        <w:rPr>
          <w:rFonts w:cs="Cambria" w:hAnsi="Cambria" w:eastAsia="Cambria" w:ascii="Cambria"/>
        </w:rPr>
        <w:t xml:space="preserve"> </w:t>
      </w:r>
    </w:p>
    <w:p>
      <w:pPr>
        <w:spacing w:before="0" w:after="0" w:line="259" w:lineRule="auto"/>
        <w:ind w:left="360" w:firstLine="0"/>
        <w:jc w:val="left"/>
      </w:pPr>
      <w:r>
        <w:rPr/>
        <w:t xml:space="preserve"> </w:t>
      </w:r>
    </w:p>
    <w:p>
      <w:pPr>
        <w:pStyle w:val="heading3"/>
        <w:spacing w:before="0" w:after="10" w:line="249" w:lineRule="auto"/>
        <w:ind w:left="-5"/>
      </w:pPr>
      <w:r>
        <w:rPr/>
        <w:t xml:space="preserve">3.5</w:t>
      </w:r>
      <w:r>
        <w:rPr/>
        <w:t xml:space="preserve">. Cadre légal</w:t>
      </w:r>
      <w:r>
        <w:rPr/>
        <w:t xml:space="preserve"> </w:t>
      </w:r>
    </w:p>
    <w:p>
      <w:pPr>
        <w:spacing w:before="0" w:after="0" w:line="259" w:lineRule="auto"/>
        <w:ind w:left="0" w:firstLine="0"/>
        <w:jc w:val="left"/>
      </w:pPr>
      <w:r>
        <w:rPr>
          <w:rFonts w:cs="Arial" w:hAnsi="Arial" w:eastAsia="Arial" w:ascii="Arial"/>
          <w:sz w:val="24"/>
        </w:rPr>
        <w:t xml:space="preserve"> </w:t>
      </w:r>
    </w:p>
    <w:p>
      <w:pPr>
        <w:pStyle w:val="normal"/>
        <w:numPr>
          <w:ilvl w:val="0"/>
          <w:numId w:val="26"/>
        </w:numPr>
        <w:spacing w:before="0" w:after="5" w:line="247" w:lineRule="auto"/>
        <w:ind w:left="1056" w:right="598" w:hanging="360"/>
      </w:pPr>
      <w:r>
        <w:rPr/>
        <w:t xml:space="preserve">Ce document et</w:t>
      </w:r>
      <w:r>
        <w:rPr/>
        <w:t xml:space="preserve"> </w:t>
      </w:r>
      <w:r>
        <w:rPr/>
        <w:t xml:space="preserve">le Plan d‟Action du Programme de Pays (CPAP) signé par le Gouvernement et le PNUD le 4 mai 2011</w:t>
      </w:r>
      <w:r>
        <w:rPr/>
        <w:t xml:space="preserve"> </w:t>
      </w:r>
      <w:r>
        <w:rPr/>
        <w:t xml:space="preserve">constituent l‟instrument</w:t>
      </w:r>
      <w:r>
        <w:rPr/>
        <w:t xml:space="preserve"> </w:t>
      </w:r>
      <w:r>
        <w:rPr/>
        <w:t xml:space="preserve">visé à l‟Article premier du Paragraphe 2 de l‟Accord</w:t>
      </w:r>
      <w:r>
        <w:rPr/>
        <w:t xml:space="preserve">-</w:t>
      </w:r>
      <w:r>
        <w:rPr/>
        <w:t xml:space="preserve">type  d‟assistance de base conclu le 19 juillet 1976, entre le Gouvernement du Burkina Faso et le Programme des Nations Unies pour le Développement. Aux fins de l‟accord de base, le Partenaire de mise en œuvre dans le pays hôte sera le</w:t>
      </w:r>
      <w:r>
        <w:rPr/>
        <w:t xml:space="preserve"> </w:t>
      </w:r>
      <w:r>
        <w:rPr/>
        <w:t xml:space="preserve">Ministère de l‟Environnement et du Développement Durable. Tenant compte de ce qui précède, la responsabilité de la sûreté et de la sécurité du partenaire de mise en œuvre, de son personnel et de ses biens, et des biens du PNUD gérés par le partenaire de mise en œuvre relève du partenaire de mise en œuvre.</w:t>
      </w:r>
      <w:r>
        <w:rPr/>
        <w:t xml:space="preserve"> </w:t>
      </w:r>
    </w:p>
    <w:p>
      <w:pPr>
        <w:spacing w:before="0" w:after="55" w:line="259" w:lineRule="auto"/>
        <w:ind w:left="0" w:firstLine="0"/>
        <w:jc w:val="left"/>
      </w:pPr>
      <w:r>
        <w:rPr>
          <w:rFonts w:cs="Arial" w:hAnsi="Arial" w:eastAsia="Arial" w:ascii="Arial"/>
          <w:sz w:val="18"/>
        </w:rPr>
        <w:t xml:space="preserve"> </w:t>
      </w:r>
    </w:p>
    <w:p>
      <w:pPr>
        <w:pStyle w:val="normal"/>
        <w:numPr>
          <w:ilvl w:val="0"/>
          <w:numId w:val="26"/>
        </w:numPr>
        <w:spacing w:before="0" w:after="5" w:line="247" w:lineRule="auto"/>
        <w:ind w:left="1056" w:right="598" w:hanging="360"/>
      </w:pPr>
      <w:r>
        <w:rPr/>
        <w:t xml:space="preserve">Le partenaire de mise en œuvre devra</w:t>
      </w:r>
      <w:r>
        <w:rPr/>
        <w:t xml:space="preserve"> </w:t>
      </w:r>
      <w:r>
        <w:rPr/>
        <w:t xml:space="preserve">:</w:t>
      </w:r>
      <w:r>
        <w:rPr/>
        <w:t xml:space="preserve"> </w:t>
      </w:r>
    </w:p>
    <w:p>
      <w:pPr>
        <w:pStyle w:val="normal"/>
        <w:numPr>
          <w:ilvl w:val="1"/>
          <w:numId w:val="26"/>
        </w:numPr>
        <w:spacing w:before="0" w:after="5" w:line="247" w:lineRule="auto"/>
        <w:ind w:left="1277" w:right="598" w:hanging="283"/>
      </w:pPr>
      <w:r>
        <w:rPr/>
        <w:t xml:space="preserve">mettre en place un plan approprié de sécurité</w:t>
      </w:r>
      <w:r>
        <w:rPr/>
        <w:t xml:space="preserve"> ; </w:t>
      </w:r>
    </w:p>
    <w:p>
      <w:pPr>
        <w:pStyle w:val="normal"/>
        <w:numPr>
          <w:ilvl w:val="1"/>
          <w:numId w:val="26"/>
        </w:numPr>
        <w:spacing w:before="0" w:after="5" w:line="247" w:lineRule="auto"/>
        <w:ind w:left="1277" w:right="598" w:hanging="283"/>
      </w:pPr>
      <w:r>
        <w:rPr/>
        <w:t xml:space="preserve">mettre à jour ledit plan en prenant en compte la situation sécuritaire du pays</w:t>
      </w:r>
      <w:r>
        <w:rPr/>
        <w:t xml:space="preserve"> ; </w:t>
      </w:r>
    </w:p>
    <w:p>
      <w:pPr>
        <w:pStyle w:val="normal"/>
        <w:numPr>
          <w:ilvl w:val="1"/>
          <w:numId w:val="26"/>
        </w:numPr>
        <w:spacing w:before="0" w:after="5" w:line="247" w:lineRule="auto"/>
        <w:ind w:left="1277" w:right="598" w:hanging="283"/>
      </w:pPr>
      <w:r>
        <w:rPr/>
        <w:t xml:space="preserve">assumer tous les risques liés à la sécurité du partenaire de mise en œuvre et la mise en œuvre intégrale du plan de sécurité.</w:t>
      </w:r>
      <w:r>
        <w:rPr/>
        <w:t xml:space="preserve"> </w:t>
      </w:r>
    </w:p>
    <w:p>
      <w:pPr>
        <w:spacing w:before="0" w:after="0" w:line="259" w:lineRule="auto"/>
        <w:ind w:left="0" w:firstLine="0"/>
        <w:jc w:val="left"/>
      </w:pPr>
      <w:r>
        <w:rPr>
          <w:rFonts w:cs="Arial" w:hAnsi="Arial" w:eastAsia="Arial" w:ascii="Arial"/>
        </w:rPr>
        <w:t xml:space="preserve"> </w:t>
      </w:r>
    </w:p>
    <w:p>
      <w:pPr>
        <w:pStyle w:val="normal"/>
        <w:numPr>
          <w:ilvl w:val="0"/>
          <w:numId w:val="26"/>
        </w:numPr>
        <w:spacing w:before="0" w:after="5" w:line="247" w:lineRule="auto"/>
        <w:ind w:left="1056" w:right="598" w:hanging="360"/>
      </w:pPr>
      <w:r>
        <w:rPr/>
        <w:t xml:space="preserve">Le PNUD se</w:t>
      </w:r>
      <w:r>
        <w:rPr/>
        <w:t xml:space="preserve"> </w:t>
      </w:r>
      <w:r>
        <w:rPr/>
        <w:t xml:space="preserve">réserve le droit de vérifier la mise en place du plan de sécurité et de suggérer des modifications si nécessaire. Une défaillance dans la mise en œuvre et la mise à jour du plan approprié de sécurité tel que requis sera considérée comme une rupture du présent accord. Le partenaire de mise en œuvre s‟engage à entreprendre tous les efforts raisonnables pour s‟assurer qu‟aucun financement reçu du PNUD dans le cadre du projet n‟est alloué à une personne ou une entité associée au terrorisme et qu‟aucun bénéficiaire des financements du PNUD n‟apparaît sur la liste du Comité du Conseil de Sécurité établie conformément à la Résolution 1267 (1999). </w:t>
      </w:r>
      <w:r>
        <w:rPr/>
        <w:t xml:space="preserve"> </w:t>
      </w:r>
    </w:p>
    <w:p>
      <w:pPr>
        <w:spacing w:before="0" w:after="17" w:line="259" w:lineRule="auto"/>
        <w:ind w:left="0" w:firstLine="0"/>
        <w:jc w:val="left"/>
      </w:pPr>
      <w:r>
        <w:rPr>
          <w:rFonts w:cs="Arial" w:hAnsi="Arial" w:eastAsia="Arial" w:ascii="Arial"/>
          <w:sz w:val="18"/>
        </w:rPr>
        <w:t xml:space="preserve"> </w:t>
      </w:r>
    </w:p>
    <w:p>
      <w:pPr>
        <w:pStyle w:val="normal"/>
        <w:numPr>
          <w:ilvl w:val="0"/>
          <w:numId w:val="26"/>
        </w:numPr>
        <w:spacing w:before="0" w:after="5" w:line="247" w:lineRule="auto"/>
        <w:ind w:left="1056" w:right="598" w:hanging="360"/>
      </w:pPr>
      <w:r>
        <w:rPr/>
        <w:t xml:space="preserve">Cette liste est accessible par le lien </w:t>
      </w:r>
      <w:hyperlink r:id="hyperlink27142">
        <w:r>
          <w:rPr>
            <w:u w:val="single" w:color="000000"/>
          </w:rPr>
          <w:t xml:space="preserve">http://un.org/Docs/sc/commitees/1267/1267ListEng/htm</w:t>
        </w:r>
      </w:hyperlink>
      <w:hyperlink r:id="hyperlink27142">
        <w:r>
          <w:rPr/>
          <w:t xml:space="preserve">.</w:t>
        </w:r>
      </w:hyperlink>
      <w:r>
        <w:rPr/>
        <w:t xml:space="preserve"> Cet engagement doit être inclus dans tous les sous</w:t>
      </w:r>
      <w:r>
        <w:rPr/>
        <w:t xml:space="preserve">-</w:t>
      </w:r>
      <w:r>
        <w:rPr/>
        <w:t xml:space="preserve">contrats ou sous</w:t>
      </w:r>
      <w:r>
        <w:rPr/>
        <w:t xml:space="preserve">-</w:t>
      </w:r>
      <w:r>
        <w:rPr/>
        <w:t xml:space="preserve">engagements entrant dans le cadre de ce document de projet. Les équipements et fournitures nécessaires au fonctionnement du projet bénéficieront de l‟exonération des droits, taxes et impôts en vigueur au Burkina Faso. Le Projet bénéficiera également de l‟enlèvement immédiat sous douane de tous les équipements et fournitures importés au titre du projet. La régularisation douanière devra être effectuée dans un délai de trois (3) mois.</w:t>
      </w:r>
      <w:r>
        <w:rPr/>
        <w:t xml:space="preserve"> </w:t>
      </w:r>
    </w:p>
    <w:p>
      <w:pPr>
        <w:spacing w:before="0" w:after="0" w:line="259" w:lineRule="auto"/>
        <w:ind w:left="0" w:firstLine="0"/>
        <w:jc w:val="left"/>
      </w:pPr>
      <w:r>
        <w:rPr>
          <w:rFonts w:cs="Arial" w:hAnsi="Arial" w:eastAsia="Arial" w:ascii="Arial"/>
        </w:rPr>
        <w:t xml:space="preserve"> </w:t>
      </w:r>
    </w:p>
    <w:p>
      <w:pPr>
        <w:pStyle w:val="normal"/>
        <w:numPr>
          <w:ilvl w:val="0"/>
          <w:numId w:val="26"/>
        </w:numPr>
        <w:spacing w:before="0" w:after="5" w:line="247" w:lineRule="auto"/>
        <w:ind w:left="1056" w:right="598" w:hanging="360"/>
      </w:pPr>
      <w:r>
        <w:rPr/>
        <w:t xml:space="preserve">Les modifications suivantes ne peuvent</w:t>
      </w:r>
      <w:r>
        <w:rPr/>
        <w:t xml:space="preserve"> </w:t>
      </w:r>
      <w:r>
        <w:rPr/>
        <w:t xml:space="preserve">être apportées au document qu‟avec la signature du Représentant Résident du PNUD, à condition que celui</w:t>
      </w:r>
      <w:r>
        <w:rPr/>
        <w:t xml:space="preserve">-</w:t>
      </w:r>
      <w:r>
        <w:rPr/>
        <w:t xml:space="preserve">ci ait l‟assurance que les autres signataires du document n‟ont pas d‟objections à l‟égard des changements proposés :</w:t>
      </w:r>
      <w:r>
        <w:rPr/>
        <w:t xml:space="preserve"> </w:t>
      </w:r>
    </w:p>
    <w:p>
      <w:pPr>
        <w:spacing w:before="0" w:after="0" w:line="259" w:lineRule="auto"/>
        <w:ind w:left="0" w:firstLine="0"/>
        <w:jc w:val="left"/>
      </w:pPr>
      <w:r>
        <w:rPr/>
        <w:t xml:space="preserve"> </w:t>
      </w:r>
    </w:p>
    <w:p>
      <w:pPr>
        <w:pStyle w:val="normal"/>
        <w:numPr>
          <w:ilvl w:val="1"/>
          <w:numId w:val="27"/>
        </w:numPr>
        <w:spacing w:before="0" w:after="34" w:line="247" w:lineRule="auto"/>
        <w:ind w:left="1419" w:right="598" w:hanging="286"/>
      </w:pPr>
      <w:r>
        <w:rPr/>
        <w:t xml:space="preserve">les révisions ou compléments apportés aux annexes du descriptif</w:t>
      </w:r>
      <w:r>
        <w:rPr/>
        <w:t xml:space="preserve"> </w:t>
      </w:r>
      <w:r>
        <w:rPr/>
        <w:t xml:space="preserve">du projet ;</w:t>
      </w:r>
      <w:r>
        <w:rPr/>
        <w:t xml:space="preserve"> </w:t>
      </w:r>
    </w:p>
    <w:p>
      <w:pPr>
        <w:pStyle w:val="normal"/>
        <w:numPr>
          <w:ilvl w:val="1"/>
          <w:numId w:val="27"/>
        </w:numPr>
        <w:spacing w:before="0" w:after="5" w:line="247" w:lineRule="auto"/>
        <w:ind w:left="1419" w:right="598" w:hanging="286"/>
      </w:pPr>
      <w:r>
        <w:rPr/>
        <w:t xml:space="preserve">les révisions n‟ayant pas d‟incidences notables sur les objectifs, les produits et les activités du projet, mais qui sont dues</w:t>
      </w:r>
      <w:r>
        <w:rPr/>
        <w:t xml:space="preserve"> </w:t>
      </w:r>
      <w:r>
        <w:rPr/>
        <w:t xml:space="preserve">à un réaménagement des apports déjà convenus ou à des augmentations de coûts dues à l‟inflation</w:t>
      </w:r>
      <w:r>
        <w:rPr/>
        <w:t xml:space="preserve"> ; </w:t>
      </w:r>
    </w:p>
    <w:p>
      <w:pPr>
        <w:pStyle w:val="normal"/>
        <w:numPr>
          <w:ilvl w:val="1"/>
          <w:numId w:val="27"/>
        </w:numPr>
        <w:spacing w:before="0" w:after="5" w:line="247" w:lineRule="auto"/>
        <w:ind w:left="1419" w:right="598" w:hanging="286"/>
      </w:pPr>
      <w:r>
        <w:rPr/>
        <w:t xml:space="preserve">les révisions annuelles obligatoires ayant pour objet le rééchelonnement de la fourniture d‟apports déjà prévus, l‟accroissement dû à l‟inflation des coûts des services d‟experts ou d‟autres charges et la prise en considération du traitement préférentiel accordé à l‟Agence d‟exécution pour le remboursement de ses dépenses.</w:t>
      </w:r>
      <w:r>
        <w:rPr>
          <w:rFonts w:cs="Times New Roman" w:hAnsi="Times New Roman" w:eastAsia="Times New Roman" w:ascii="Times New Roman"/>
          <w:b w:val="1"/>
        </w:rPr>
        <w:t xml:space="preserve"> </w:t>
      </w:r>
    </w:p>
    <w:p>
      <w:pPr>
        <w:sectPr>
          <w:headerReference w:type="even" r:id="rId17"/>
          <w:headerReference w:type="default" r:id="rId15"/>
          <w:headerReference w:type="first" r:id="rId13"/>
          <w:footerReference w:type="even" r:id="rId18"/>
          <w:footerReference w:type="default" r:id="rId16"/>
          <w:footerReference w:type="first" r:id="rId14"/>
          <w:pgSz w:w="11906" w:h="16838" w:orient="portrait"/>
          <w:pgMar w:footer="717" w:left="1078" w:top="1200" w:right="469" w:bottom="1486"/>
          <w:pgNumType w:fmt="decimal"/>
          <w:cols/>
        </w:sectPr>
      </w:pPr>
    </w:p>
    <w:p>
      <w:pPr>
        <w:spacing w:before="0" w:after="0" w:line="259" w:lineRule="auto"/>
        <w:ind w:left="0" w:firstLine="0"/>
        <w:jc w:val="left"/>
      </w:pPr>
      <w:r>
        <w:rPr/>
        <w:t xml:space="preserve"> </w:t>
      </w:r>
      <w:r>
        <w:rPr>
          <w:sz w:val="37"/>
          <w:vertAlign w:val="subscript"/>
        </w:rPr>
        <w:t xml:space="preserve"> 	</w:t>
      </w:r>
      <w:r>
        <w:rPr>
          <w:sz w:val="40"/>
        </w:rPr>
        <w:t xml:space="preserve"> </w:t>
      </w:r>
    </w:p>
    <w:p>
      <w:pPr>
        <w:spacing w:before="0" w:after="204" w:line="259" w:lineRule="auto"/>
        <w:ind w:left="0" w:firstLine="0"/>
        <w:jc w:val="left"/>
      </w:pPr>
      <w:r>
        <w:rPr>
          <w:sz w:val="2"/>
        </w:rPr>
        <w:t xml:space="preserve"> </w:t>
      </w:r>
    </w:p>
    <w:p>
      <w:pPr>
        <w:pStyle w:val="heading3"/>
        <w:spacing w:before="0" w:after="10" w:line="249" w:lineRule="auto"/>
        <w:ind w:left="-5"/>
      </w:pPr>
      <w:r>
        <w:rPr/>
        <w:t xml:space="preserve">3.6</w:t>
      </w:r>
      <w:r>
        <w:rPr/>
        <w:t xml:space="preserve"> </w:t>
      </w:r>
      <w:r>
        <w:rPr/>
        <w:t xml:space="preserve">Journal </w:t>
      </w:r>
      <w:r>
        <w:rPr/>
        <w:t xml:space="preserve"> </w:t>
      </w:r>
      <w:r>
        <w:rPr/>
        <w:t xml:space="preserve">des</w:t>
      </w:r>
      <w:r>
        <w:rPr/>
        <w:t xml:space="preserve"> </w:t>
      </w:r>
      <w:r>
        <w:rPr/>
        <w:t xml:space="preserve">risques</w:t>
      </w:r>
      <w:r>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pStyle w:val="normal"/>
        <w:spacing w:before="0" w:after="5" w:line="247" w:lineRule="auto"/>
        <w:ind w:left="1056" w:hanging="360"/>
      </w:pPr>
      <w:r>
        <w:rPr/>
        <w:t xml:space="preserve">1.</w:t>
      </w:r>
      <w:r>
        <w:rPr>
          <w:rFonts w:cs="Arial" w:hAnsi="Arial" w:eastAsia="Arial" w:ascii="Arial"/>
        </w:rPr>
        <w:t xml:space="preserve"> </w:t>
      </w:r>
      <w:r>
        <w:rPr/>
        <w:t xml:space="preserve">La matrice</w:t>
      </w:r>
      <w:r>
        <w:rPr/>
        <w:t xml:space="preserve"> </w:t>
      </w:r>
      <w:r>
        <w:rPr/>
        <w:t xml:space="preserve">ci</w:t>
      </w:r>
      <w:r>
        <w:rPr/>
        <w:t xml:space="preserve">-</w:t>
      </w:r>
      <w:r>
        <w:rPr/>
        <w:t xml:space="preserve">dessous synthétise les  risques potentiels pouvant influer sur la mise en œuvre du programme ainsi que les mesures de mitigation appropriés.</w:t>
      </w:r>
      <w:r>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tbl>
      <w:tblPr>
        <w:tblStyle w:val="TableGrid"/>
        <w:tblW w:w="13999" w:type="dxa"/>
        <w:tblInd w:w="-107" w:type="dxa"/>
        <w:tblCellMar>
          <w:top w:w="8" w:type="dxa"/>
          <w:left w:w="107" w:type="dxa"/>
          <w:bottom w:w="0" w:type="dxa"/>
          <w:right w:w="68" w:type="dxa"/>
        </w:tblCellMar>
      </w:tblPr>
      <w:tblGrid>
        <w:gridCol w:w="330"/>
        <w:gridCol w:w="2012"/>
        <w:gridCol w:w="1310"/>
        <w:gridCol w:w="2036"/>
        <w:gridCol w:w="1790"/>
        <w:gridCol w:w="1270"/>
        <w:gridCol w:w="1080"/>
        <w:gridCol w:w="1080"/>
        <w:gridCol w:w="1081"/>
        <w:gridCol w:w="2010"/>
      </w:tblGrid>
      <w:tr>
        <w:trPr>
          <w:trHeight w:val="629" w:hRule="atLeast"/>
        </w:trPr>
        <w:tc>
          <w:tcPr>
            <w:tcW w:w="33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0" w:firstLine="0"/>
              <w:jc w:val="left"/>
            </w:pPr>
            <w:r>
              <w:rPr>
                <w:rFonts w:cs="Times New Roman" w:hAnsi="Times New Roman" w:eastAsia="Times New Roman" w:ascii="Times New Roman"/>
                <w:b w:val="1"/>
                <w:color w:val="ffffff"/>
                <w:sz w:val="18"/>
              </w:rPr>
              <w:t xml:space="preserve">#</w:t>
            </w:r>
            <w:r>
              <w:rPr>
                <w:rFonts w:cs="Times New Roman" w:hAnsi="Times New Roman" w:eastAsia="Times New Roman" w:ascii="Times New Roman"/>
                <w:b w:val="1"/>
                <w:color w:val="ffffff"/>
                <w:sz w:val="18"/>
              </w:rPr>
              <w:t xml:space="preserve"> </w:t>
            </w:r>
          </w:p>
        </w:tc>
        <w:tc>
          <w:tcPr>
            <w:tcW w:w="2012"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Description</w:t>
            </w:r>
            <w:r>
              <w:rPr>
                <w:rFonts w:cs="Times New Roman" w:hAnsi="Times New Roman" w:eastAsia="Times New Roman" w:ascii="Times New Roman"/>
                <w:b w:val="1"/>
                <w:color w:val="ffffff"/>
                <w:sz w:val="18"/>
              </w:rPr>
              <w:t xml:space="preserve"> </w:t>
            </w:r>
          </w:p>
        </w:tc>
        <w:tc>
          <w:tcPr>
            <w:tcW w:w="131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Catégorie</w:t>
            </w:r>
            <w:r>
              <w:rPr>
                <w:rFonts w:cs="Times New Roman" w:hAnsi="Times New Roman" w:eastAsia="Times New Roman" w:ascii="Times New Roman"/>
                <w:b w:val="1"/>
                <w:color w:val="ffffff"/>
                <w:sz w:val="18"/>
              </w:rPr>
              <w:t xml:space="preserve"> </w:t>
            </w:r>
          </w:p>
        </w:tc>
        <w:tc>
          <w:tcPr>
            <w:tcW w:w="2036"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right="130" w:firstLine="0"/>
              <w:jc w:val="left"/>
            </w:pPr>
            <w:r>
              <w:rPr>
                <w:rFonts w:cs="Times New Roman" w:hAnsi="Times New Roman" w:eastAsia="Times New Roman" w:ascii="Times New Roman"/>
                <w:b w:val="1"/>
                <w:color w:val="ffffff"/>
                <w:sz w:val="18"/>
              </w:rPr>
              <w:t xml:space="preserve">Impacte &amp;</w:t>
            </w:r>
            <w:r>
              <w:rPr>
                <w:rFonts w:cs="Times New Roman" w:hAnsi="Times New Roman" w:eastAsia="Times New Roman" w:ascii="Times New Roman"/>
                <w:b w:val="1"/>
                <w:color w:val="ffffff"/>
                <w:sz w:val="18"/>
              </w:rPr>
              <w:t xml:space="preserve"> </w:t>
            </w:r>
            <w:r>
              <w:rPr>
                <w:rFonts w:cs="Times New Roman" w:hAnsi="Times New Roman" w:eastAsia="Times New Roman" w:ascii="Times New Roman"/>
                <w:b w:val="1"/>
                <w:color w:val="ffffff"/>
                <w:sz w:val="18"/>
              </w:rPr>
              <w:t xml:space="preserve">Probabilité</w:t>
            </w:r>
            <w:r>
              <w:rPr>
                <w:rFonts w:cs="Times New Roman" w:hAnsi="Times New Roman" w:eastAsia="Times New Roman" w:ascii="Times New Roman"/>
                <w:b w:val="1"/>
                <w:color w:val="ffffff"/>
                <w:sz w:val="18"/>
              </w:rPr>
              <w:t xml:space="preserve"> </w:t>
            </w:r>
          </w:p>
        </w:tc>
        <w:tc>
          <w:tcPr>
            <w:tcW w:w="179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Mesures de gestion du risque</w:t>
            </w:r>
            <w:r>
              <w:rPr>
                <w:rFonts w:cs="Times New Roman" w:hAnsi="Times New Roman" w:eastAsia="Times New Roman" w:ascii="Times New Roman"/>
                <w:b w:val="1"/>
                <w:color w:val="ffffff"/>
                <w:sz w:val="18"/>
              </w:rPr>
              <w:t xml:space="preserve">  </w:t>
            </w:r>
          </w:p>
        </w:tc>
        <w:tc>
          <w:tcPr>
            <w:tcW w:w="127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Responsable</w:t>
            </w:r>
            <w:r>
              <w:rPr>
                <w:rFonts w:cs="Times New Roman" w:hAnsi="Times New Roman" w:eastAsia="Times New Roman" w:ascii="Times New Roman"/>
                <w:b w:val="1"/>
                <w:color w:val="ffffff"/>
                <w:sz w:val="18"/>
              </w:rPr>
              <w:t xml:space="preserve"> </w:t>
            </w:r>
          </w:p>
        </w:tc>
        <w:tc>
          <w:tcPr>
            <w:tcW w:w="108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Identifié par</w:t>
            </w:r>
            <w:r>
              <w:rPr>
                <w:rFonts w:cs="Times New Roman" w:hAnsi="Times New Roman" w:eastAsia="Times New Roman" w:ascii="Times New Roman"/>
                <w:b w:val="1"/>
                <w:color w:val="ffffff"/>
                <w:sz w:val="18"/>
              </w:rPr>
              <w:t xml:space="preserve"> </w:t>
            </w:r>
          </w:p>
        </w:tc>
        <w:tc>
          <w:tcPr>
            <w:tcW w:w="108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Date d’identific ation</w:t>
            </w:r>
            <w:r>
              <w:rPr>
                <w:rFonts w:cs="Times New Roman" w:hAnsi="Times New Roman" w:eastAsia="Times New Roman" w:ascii="Times New Roman"/>
                <w:b w:val="1"/>
                <w:color w:val="ffffff"/>
                <w:sz w:val="18"/>
              </w:rPr>
              <w:t xml:space="preserve"> </w:t>
            </w:r>
          </w:p>
        </w:tc>
        <w:tc>
          <w:tcPr>
            <w:tcW w:w="1081"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Dernière mise à jour</w:t>
            </w:r>
            <w:r>
              <w:rPr>
                <w:rFonts w:cs="Times New Roman" w:hAnsi="Times New Roman" w:eastAsia="Times New Roman" w:ascii="Times New Roman"/>
                <w:b w:val="1"/>
                <w:color w:val="ffffff"/>
                <w:sz w:val="18"/>
              </w:rPr>
              <w:t xml:space="preserve"> </w:t>
            </w:r>
          </w:p>
        </w:tc>
        <w:tc>
          <w:tcPr>
            <w:tcW w:w="201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Statut</w:t>
            </w:r>
            <w:r>
              <w:rPr>
                <w:rFonts w:cs="Times New Roman" w:hAnsi="Times New Roman" w:eastAsia="Times New Roman" w:ascii="Times New Roman"/>
                <w:b w:val="1"/>
                <w:color w:val="ffffff"/>
                <w:sz w:val="18"/>
              </w:rPr>
              <w:t xml:space="preserve"> </w:t>
            </w:r>
          </w:p>
        </w:tc>
      </w:tr>
      <w:tr>
        <w:trPr>
          <w:trHeight w:val="2495" w:hRule="atLeast"/>
        </w:trPr>
        <w:tc>
          <w:tcPr>
            <w:tcW w:w="33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1</w:t>
            </w:r>
            <w:r>
              <w:rPr>
                <w:sz w:val="18"/>
              </w:rPr>
              <w:t xml:space="preserve"> </w:t>
            </w: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Conflits autour de l‟utilisation des ressources naturelles partagées</w:t>
            </w:r>
            <w:r>
              <w:rPr>
                <w:sz w:val="18"/>
              </w:rPr>
              <w:t xml:space="preserve"> </w:t>
            </w:r>
          </w:p>
        </w:tc>
        <w:tc>
          <w:tcPr>
            <w:tcW w:w="13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Sécuritaire</w:t>
            </w:r>
            <w:r>
              <w:rPr>
                <w:sz w:val="18"/>
              </w:rPr>
              <w:t xml:space="preserve"> </w:t>
            </w:r>
          </w:p>
        </w:tc>
        <w:tc>
          <w:tcPr>
            <w:tcW w:w="2036" w:type="dxa"/>
            <w:tcBorders>
              <w:top w:val="single" w:sz="4" w:color="000000"/>
              <w:left w:val="single" w:sz="4" w:color="000000"/>
              <w:bottom w:val="single" w:sz="4" w:color="000000"/>
              <w:right w:val="single" w:sz="4" w:color="000000"/>
            </w:tcBorders>
            <w:vAlign w:val="top"/>
          </w:tcPr>
          <w:p>
            <w:pPr>
              <w:spacing w:before="0" w:after="0" w:line="238" w:lineRule="auto"/>
              <w:ind w:left="1" w:right="28" w:firstLine="0"/>
              <w:jc w:val="left"/>
            </w:pPr>
            <w:r>
              <w:rPr>
                <w:sz w:val="18"/>
              </w:rPr>
              <w:t xml:space="preserve">L‟expérimentation de nouvelles approches de co</w:t>
            </w:r>
            <w:r>
              <w:rPr>
                <w:sz w:val="18"/>
              </w:rPr>
              <w:t xml:space="preserve">-</w:t>
            </w:r>
            <w:r>
              <w:rPr>
                <w:sz w:val="18"/>
              </w:rPr>
              <w:t xml:space="preserve">gestion</w:t>
            </w:r>
            <w:r>
              <w:rPr>
                <w:sz w:val="18"/>
              </w:rPr>
              <w:t xml:space="preserve"> </w:t>
            </w:r>
            <w:r>
              <w:rPr>
                <w:sz w:val="18"/>
              </w:rPr>
              <w:t xml:space="preserve">des ressources naturelles avec les communautés de base, est </w:t>
            </w:r>
          </w:p>
          <w:p>
            <w:pPr>
              <w:spacing w:before="0" w:after="0" w:line="259" w:lineRule="auto"/>
              <w:ind w:left="1" w:firstLine="0"/>
              <w:jc w:val="left"/>
            </w:pPr>
            <w:r>
              <w:rPr>
                <w:sz w:val="18"/>
              </w:rPr>
              <w:t xml:space="preserve">potentiellement porteuse </w:t>
            </w:r>
          </w:p>
          <w:p>
            <w:pPr>
              <w:spacing w:before="0" w:after="0" w:line="259" w:lineRule="auto"/>
              <w:ind w:left="1" w:firstLine="0"/>
              <w:jc w:val="left"/>
            </w:pPr>
            <w:r>
              <w:rPr>
                <w:sz w:val="18"/>
              </w:rPr>
              <w:t xml:space="preserve">de conflits entre </w:t>
            </w:r>
          </w:p>
          <w:p>
            <w:pPr>
              <w:spacing w:before="0" w:after="0" w:line="259" w:lineRule="auto"/>
              <w:ind w:left="1" w:firstLine="0"/>
              <w:jc w:val="left"/>
            </w:pPr>
            <w:r>
              <w:rPr>
                <w:sz w:val="18"/>
              </w:rPr>
              <w:t xml:space="preserve">utilisateurs</w:t>
            </w: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P = 3</w:t>
            </w:r>
            <w:r>
              <w:rPr>
                <w:rFonts w:cs="Times New Roman" w:hAnsi="Times New Roman" w:eastAsia="Times New Roman" w:ascii="Times New Roman"/>
                <w:b w:val="1"/>
                <w:sz w:val="18"/>
              </w:rPr>
              <w:t xml:space="preserve"> </w:t>
            </w:r>
          </w:p>
        </w:tc>
        <w:tc>
          <w:tcPr>
            <w:tcW w:w="1790" w:type="dxa"/>
            <w:tcBorders>
              <w:top w:val="single" w:sz="4" w:color="000000"/>
              <w:left w:val="single" w:sz="4" w:color="000000"/>
              <w:bottom w:val="single" w:sz="4" w:color="000000"/>
              <w:right w:val="single" w:sz="4" w:color="000000"/>
            </w:tcBorders>
            <w:vAlign w:val="top"/>
          </w:tcPr>
          <w:p>
            <w:pPr>
              <w:spacing w:before="0" w:after="0" w:line="241" w:lineRule="auto"/>
              <w:ind w:left="1" w:firstLine="0"/>
              <w:jc w:val="left"/>
            </w:pPr>
            <w:r>
              <w:rPr>
                <w:sz w:val="18"/>
              </w:rPr>
              <w:t xml:space="preserve">La mise en place d‟une plate</w:t>
            </w:r>
            <w:r>
              <w:rPr>
                <w:sz w:val="18"/>
              </w:rPr>
              <w:t xml:space="preserve">-</w:t>
            </w:r>
            <w:r>
              <w:rPr>
                <w:sz w:val="18"/>
              </w:rPr>
              <w:t xml:space="preserve">forme de concertation multi</w:t>
            </w:r>
            <w:r>
              <w:rPr>
                <w:sz w:val="18"/>
              </w:rPr>
              <w:t xml:space="preserve"/>
            </w:r>
            <w:r>
              <w:rPr>
                <w:sz w:val="18"/>
              </w:rPr>
              <w:t xml:space="preserve">acteurs contribuera à réduire ce risque.</w:t>
            </w:r>
            <w:r>
              <w:rPr>
                <w:sz w:val="18"/>
              </w:rPr>
              <w:t xml:space="preserve"> </w:t>
            </w:r>
            <w:r>
              <w:rPr>
                <w:sz w:val="18"/>
              </w:rPr>
              <w:t xml:space="preserve">L‟approche inclusive et participative qui caractérisera tous les </w:t>
            </w:r>
          </w:p>
          <w:p>
            <w:pPr>
              <w:spacing w:before="0" w:after="0" w:line="259" w:lineRule="auto"/>
              <w:ind w:left="1" w:firstLine="0"/>
              <w:jc w:val="left"/>
            </w:pPr>
            <w:r>
              <w:rPr>
                <w:sz w:val="18"/>
              </w:rPr>
              <w:t xml:space="preserve">processus </w:t>
            </w:r>
          </w:p>
          <w:p>
            <w:pPr>
              <w:spacing w:before="0" w:after="0" w:line="259" w:lineRule="auto"/>
              <w:ind w:left="1" w:firstLine="0"/>
              <w:jc w:val="left"/>
            </w:pPr>
            <w:r>
              <w:rPr>
                <w:sz w:val="18"/>
              </w:rPr>
              <w:t xml:space="preserve">accompagnés </w:t>
            </w:r>
          </w:p>
          <w:p>
            <w:pPr>
              <w:spacing w:before="0" w:after="0" w:line="259" w:lineRule="auto"/>
              <w:ind w:left="1" w:firstLine="0"/>
              <w:jc w:val="left"/>
            </w:pPr>
            <w:r>
              <w:rPr>
                <w:sz w:val="18"/>
              </w:rPr>
              <w:t xml:space="preserve">constitue aussi un atout </w:t>
            </w:r>
            <w:r>
              <w:rPr>
                <w:sz w:val="18"/>
              </w:rPr>
              <w:t xml:space="preserve"> </w:t>
            </w:r>
          </w:p>
        </w:tc>
        <w:tc>
          <w:tcPr>
            <w:tcW w:w="127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MAIRE</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Avril 2011. A la formulation du sous</w:t>
            </w:r>
            <w:r>
              <w:rPr>
                <w:sz w:val="18"/>
              </w:rPr>
              <w:t xml:space="preserve"/>
            </w:r>
            <w:r>
              <w:rPr>
                <w:sz w:val="18"/>
              </w:rPr>
              <w:t xml:space="preserve">programme</w:t>
            </w:r>
            <w:r>
              <w:rPr>
                <w:sz w:val="18"/>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20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r>
        <w:trPr>
          <w:trHeight w:val="3529" w:hRule="atLeast"/>
        </w:trPr>
        <w:tc>
          <w:tcPr>
            <w:tcW w:w="33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2</w:t>
            </w:r>
            <w:r>
              <w:rPr>
                <w:sz w:val="18"/>
              </w:rPr>
              <w:t xml:space="preserve"> </w:t>
            </w: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Catastrophes naturelles; Sécheresse, inondations, etc…</w:t>
            </w:r>
            <w:r>
              <w:rPr>
                <w:sz w:val="18"/>
              </w:rPr>
              <w:t xml:space="preserve"> </w:t>
            </w:r>
          </w:p>
        </w:tc>
        <w:tc>
          <w:tcPr>
            <w:tcW w:w="13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Environnemen</w:t>
            </w:r>
          </w:p>
          <w:p>
            <w:pPr>
              <w:spacing w:before="0" w:after="0" w:line="259" w:lineRule="auto"/>
              <w:ind w:left="1" w:firstLine="0"/>
              <w:jc w:val="left"/>
            </w:pPr>
            <w:r>
              <w:rPr>
                <w:sz w:val="18"/>
              </w:rPr>
              <w:t xml:space="preserve">tal</w:t>
            </w:r>
            <w:r>
              <w:rPr>
                <w:sz w:val="18"/>
              </w:rPr>
              <w:t xml:space="preserve"> </w:t>
            </w:r>
          </w:p>
        </w:tc>
        <w:tc>
          <w:tcPr>
            <w:tcW w:w="2036" w:type="dxa"/>
            <w:tcBorders>
              <w:top w:val="single" w:sz="4" w:color="000000"/>
              <w:left w:val="single" w:sz="4" w:color="000000"/>
              <w:bottom w:val="single" w:sz="4" w:color="000000"/>
              <w:right w:val="single" w:sz="4" w:color="000000"/>
            </w:tcBorders>
            <w:vAlign w:val="top"/>
          </w:tcPr>
          <w:p>
            <w:pPr>
              <w:spacing w:before="0" w:after="0" w:line="238" w:lineRule="auto"/>
              <w:ind w:left="1" w:firstLine="0"/>
              <w:jc w:val="left"/>
            </w:pPr>
            <w:r>
              <w:rPr>
                <w:sz w:val="18"/>
              </w:rPr>
              <w:t xml:space="preserve">Des événements naturels extrêmes (In</w:t>
            </w:r>
            <w:r>
              <w:rPr>
                <w:sz w:val="18"/>
              </w:rPr>
              <w:t xml:space="preserve">o</w:t>
            </w:r>
            <w:r>
              <w:rPr>
                <w:sz w:val="18"/>
              </w:rPr>
              <w:t xml:space="preserve">ndation, sécheresses, etc…) pourraient intervenir dans les zones de mise </w:t>
            </w:r>
          </w:p>
          <w:p>
            <w:pPr>
              <w:spacing w:before="0" w:after="0" w:line="259" w:lineRule="auto"/>
              <w:ind w:left="1" w:firstLine="0"/>
              <w:jc w:val="left"/>
            </w:pPr>
            <w:r>
              <w:rPr>
                <w:sz w:val="18"/>
              </w:rPr>
              <w:t xml:space="preserve">des projets</w:t>
            </w:r>
            <w:r>
              <w:rPr>
                <w:sz w:val="18"/>
              </w:rPr>
              <w:t xml:space="preserve"> </w:t>
            </w:r>
          </w:p>
          <w:p>
            <w:pPr>
              <w:spacing w:before="0" w:after="0" w:line="259" w:lineRule="auto"/>
              <w:ind w:left="1" w:firstLine="0"/>
              <w:jc w:val="left"/>
            </w:pPr>
            <w:r>
              <w:rPr>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P = 2</w:t>
            </w:r>
            <w:r>
              <w:rPr>
                <w:rFonts w:cs="Times New Roman" w:hAnsi="Times New Roman" w:eastAsia="Times New Roman" w:ascii="Times New Roman"/>
                <w:b w:val="1"/>
                <w:sz w:val="18"/>
              </w:rPr>
              <w:t xml:space="preserve"> </w:t>
            </w:r>
          </w:p>
        </w:tc>
        <w:tc>
          <w:tcPr>
            <w:tcW w:w="1790" w:type="dxa"/>
            <w:tcBorders>
              <w:top w:val="single" w:sz="4" w:color="000000"/>
              <w:left w:val="single" w:sz="4" w:color="000000"/>
              <w:bottom w:val="single" w:sz="4" w:color="000000"/>
              <w:right w:val="single" w:sz="4" w:color="000000"/>
            </w:tcBorders>
            <w:vAlign w:val="top"/>
          </w:tcPr>
          <w:p>
            <w:pPr>
              <w:spacing w:before="0" w:after="0" w:line="259" w:lineRule="auto"/>
              <w:ind w:left="1" w:right="33" w:firstLine="0"/>
              <w:jc w:val="left"/>
            </w:pPr>
            <w:r>
              <w:rPr>
                <w:sz w:val="18"/>
              </w:rPr>
              <w:t xml:space="preserve">La réalisation des ces événements est pour la plus part</w:t>
            </w:r>
            <w:r>
              <w:rPr>
                <w:sz w:val="18"/>
              </w:rPr>
              <w:t xml:space="preserve">  </w:t>
            </w:r>
            <w:r>
              <w:rPr>
                <w:sz w:val="18"/>
              </w:rPr>
              <w:t xml:space="preserve">hors</w:t>
            </w:r>
            <w:r>
              <w:rPr>
                <w:sz w:val="18"/>
              </w:rPr>
              <w:t xml:space="preserve"> </w:t>
            </w:r>
            <w:r>
              <w:rPr>
                <w:sz w:val="18"/>
              </w:rPr>
              <w:t xml:space="preserve">de</w:t>
            </w:r>
            <w:r>
              <w:rPr>
                <w:sz w:val="18"/>
              </w:rPr>
              <w:t xml:space="preserve"> </w:t>
            </w:r>
            <w:r>
              <w:rPr>
                <w:sz w:val="18"/>
              </w:rPr>
              <w:t xml:space="preserve">contrôle, toutefois le projet</w:t>
            </w:r>
            <w:r>
              <w:rPr>
                <w:sz w:val="18"/>
              </w:rPr>
              <w:t xml:space="preserve"> </w:t>
            </w:r>
            <w:r>
              <w:rPr>
                <w:sz w:val="18"/>
              </w:rPr>
              <w:t xml:space="preserve">intègre dans toutes les composantes de nombreuses activités d‟adaptation</w:t>
            </w:r>
            <w:r>
              <w:rPr>
                <w:sz w:val="18"/>
              </w:rPr>
              <w:t xml:space="preserve"> </w:t>
            </w:r>
            <w:r>
              <w:rPr>
                <w:sz w:val="18"/>
              </w:rPr>
              <w:t xml:space="preserve">et l‟adoption d‟une planification glissante permettrait de combler d‟éventuels retards de mise en œuvre et de réallocation des ressources</w:t>
            </w:r>
            <w:r>
              <w:rPr>
                <w:sz w:val="18"/>
              </w:rPr>
              <w:t xml:space="preserve"> </w:t>
            </w:r>
          </w:p>
        </w:tc>
        <w:tc>
          <w:tcPr>
            <w:tcW w:w="127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Coordinateur du Projet</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Avril 2011. A la formulation du sous</w:t>
            </w:r>
            <w:r>
              <w:rPr>
                <w:sz w:val="18"/>
              </w:rPr>
              <w:t xml:space="preserve"/>
            </w:r>
            <w:r>
              <w:rPr>
                <w:sz w:val="18"/>
              </w:rPr>
              <w:t xml:space="preserve">programme</w:t>
            </w:r>
            <w:r>
              <w:rPr>
                <w:sz w:val="18"/>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20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r>
        <w:trPr>
          <w:trHeight w:val="1046" w:hRule="atLeast"/>
        </w:trPr>
        <w:tc>
          <w:tcPr>
            <w:tcW w:w="33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3</w:t>
            </w:r>
            <w:r>
              <w:rPr>
                <w:sz w:val="18"/>
              </w:rPr>
              <w:t xml:space="preserve"> </w:t>
            </w: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Mise en œuvre insatisfaisante du projet du fait de difficultés de coordination entre les départements </w:t>
            </w:r>
          </w:p>
        </w:tc>
        <w:tc>
          <w:tcPr>
            <w:tcW w:w="13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Opérationnel</w:t>
            </w:r>
            <w:r>
              <w:rPr>
                <w:sz w:val="18"/>
              </w:rPr>
              <w:t xml:space="preserve"> </w:t>
            </w:r>
          </w:p>
        </w:tc>
        <w:tc>
          <w:tcPr>
            <w:tcW w:w="203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Des lenteurs dues à la méconnaissance ou aux lenteurs des procédures peuvent sérieusement compromettre l‟atteinte </w:t>
            </w:r>
          </w:p>
        </w:tc>
        <w:tc>
          <w:tcPr>
            <w:tcW w:w="179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La PNUD par son équipe</w:t>
            </w:r>
            <w:r>
              <w:rPr>
                <w:sz w:val="18"/>
              </w:rPr>
              <w:t xml:space="preserve"> </w:t>
            </w:r>
            <w:r>
              <w:rPr>
                <w:sz w:val="18"/>
              </w:rPr>
              <w:t xml:space="preserve">de suivi et coordination appuiera, conseillera</w:t>
            </w:r>
            <w:r>
              <w:rPr>
                <w:sz w:val="18"/>
              </w:rPr>
              <w:t xml:space="preserve"> </w:t>
            </w:r>
            <w:r>
              <w:rPr>
                <w:sz w:val="18"/>
              </w:rPr>
              <w:t xml:space="preserve">et formera</w:t>
            </w:r>
            <w:r>
              <w:rPr>
                <w:sz w:val="18"/>
              </w:rPr>
              <w:t xml:space="preserve"> </w:t>
            </w:r>
            <w:r>
              <w:rPr>
                <w:sz w:val="18"/>
              </w:rPr>
              <w:t xml:space="preserve">les Unités </w:t>
            </w:r>
          </w:p>
        </w:tc>
        <w:tc>
          <w:tcPr>
            <w:tcW w:w="127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p>
            <w:pPr>
              <w:spacing w:before="0" w:after="0" w:line="240" w:lineRule="auto"/>
              <w:ind w:left="1" w:firstLine="0"/>
              <w:jc w:val="left"/>
            </w:pPr>
            <w:r>
              <w:rPr>
                <w:sz w:val="18"/>
              </w:rPr>
              <w:t xml:space="preserve">Chargé de programme </w:t>
            </w:r>
          </w:p>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Durant la formulation du projet</w:t>
            </w:r>
            <w:r>
              <w:rPr>
                <w:sz w:val="18"/>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20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bl>
    <w:p>
      <w:pPr>
        <w:tabs>
          <w:tab w:val="center" w:pos="6582"/>
          <w:tab w:val="center" w:pos="7300"/>
        </w:tabs>
        <w:spacing w:before="0" w:after="3" w:line="259" w:lineRule="auto"/>
        <w:ind w:left="0" w:firstLine="0"/>
        <w:jc w:val="left"/>
      </w:pPr>
      <w:r>
        <w:rPr>
          <w:rFonts w:cs="Calibri" w:hAnsi="Calibri" w:eastAsia="Calibri" w:ascii="Calibri"/>
          <w:sz w:val="22"/>
        </w:rPr>
        <w:t xml:space="preserve">	</w:t>
      </w:r>
      <w:r>
        <w:rPr>
          <w:sz w:val="20"/>
        </w:rPr>
        <w:t xml:space="preserve">Page 	</w:t>
      </w:r>
      <w:r>
        <w:rPr>
          <w:sz w:val="20"/>
        </w:rPr>
        <w:t xml:space="preserve"> </w:t>
      </w:r>
      <w:r>
        <w:rPr>
          <w:sz w:val="20"/>
        </w:rPr>
        <w:t xml:space="preserve">sur </w:t>
      </w:r>
      <w:r>
        <w:rPr>
          <w:sz w:val="20"/>
        </w:rPr>
        <w:t xml:space="preserve">60</w:t>
      </w:r>
      <w:r>
        <w:rPr>
          <w:sz w:val="24"/>
        </w:rPr>
        <w:t xml:space="preserve"> </w:t>
      </w:r>
    </w:p>
    <w:p>
      <w:pPr>
        <w:spacing w:before="0" w:after="0" w:line="259" w:lineRule="auto"/>
        <w:ind w:left="0" w:firstLine="0"/>
      </w:pPr>
      <w:r>
        <w:rPr/>
        <w:t xml:space="preserve"> 	</w:t>
      </w:r>
      <w:r>
        <w:rPr>
          <w:sz w:val="40"/>
        </w:rPr>
        <w:t xml:space="preserve"> </w:t>
      </w:r>
    </w:p>
    <w:p>
      <w:pPr>
        <w:spacing w:before="0" w:after="0" w:line="259" w:lineRule="auto"/>
        <w:ind w:left="0" w:firstLine="0"/>
        <w:jc w:val="left"/>
      </w:pPr>
      <w:r>
        <w:rPr>
          <w:sz w:val="2"/>
        </w:rPr>
        <w:t xml:space="preserve"> </w:t>
      </w:r>
    </w:p>
    <w:tbl>
      <w:tblPr>
        <w:tblStyle w:val="TableGrid"/>
        <w:tblW w:w="13999" w:type="dxa"/>
        <w:tblInd w:w="-107" w:type="dxa"/>
        <w:tblCellMar>
          <w:top w:w="8" w:type="dxa"/>
          <w:left w:w="107" w:type="dxa"/>
          <w:bottom w:w="0" w:type="dxa"/>
          <w:right w:w="39" w:type="dxa"/>
        </w:tblCellMar>
      </w:tblPr>
      <w:tblGrid>
        <w:gridCol w:w="330"/>
        <w:gridCol w:w="2012"/>
        <w:gridCol w:w="1310"/>
        <w:gridCol w:w="2036"/>
        <w:gridCol w:w="1790"/>
        <w:gridCol w:w="1270"/>
        <w:gridCol w:w="1080"/>
        <w:gridCol w:w="1080"/>
        <w:gridCol w:w="1081"/>
        <w:gridCol w:w="2010"/>
      </w:tblGrid>
      <w:tr>
        <w:trPr>
          <w:trHeight w:val="629" w:hRule="atLeast"/>
        </w:trPr>
        <w:tc>
          <w:tcPr>
            <w:tcW w:w="33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0" w:firstLine="0"/>
              <w:jc w:val="left"/>
            </w:pPr>
            <w:r>
              <w:rPr>
                <w:rFonts w:cs="Times New Roman" w:hAnsi="Times New Roman" w:eastAsia="Times New Roman" w:ascii="Times New Roman"/>
                <w:b w:val="1"/>
                <w:color w:val="ffffff"/>
                <w:sz w:val="18"/>
              </w:rPr>
              <w:t xml:space="preserve">#</w:t>
            </w:r>
            <w:r>
              <w:rPr>
                <w:rFonts w:cs="Times New Roman" w:hAnsi="Times New Roman" w:eastAsia="Times New Roman" w:ascii="Times New Roman"/>
                <w:b w:val="1"/>
                <w:color w:val="ffffff"/>
                <w:sz w:val="18"/>
              </w:rPr>
              <w:t xml:space="preserve"> </w:t>
            </w:r>
          </w:p>
        </w:tc>
        <w:tc>
          <w:tcPr>
            <w:tcW w:w="2012"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Description</w:t>
            </w:r>
            <w:r>
              <w:rPr>
                <w:rFonts w:cs="Times New Roman" w:hAnsi="Times New Roman" w:eastAsia="Times New Roman" w:ascii="Times New Roman"/>
                <w:b w:val="1"/>
                <w:color w:val="ffffff"/>
                <w:sz w:val="18"/>
              </w:rPr>
              <w:t xml:space="preserve"> </w:t>
            </w:r>
          </w:p>
        </w:tc>
        <w:tc>
          <w:tcPr>
            <w:tcW w:w="131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Catégorie</w:t>
            </w:r>
            <w:r>
              <w:rPr>
                <w:rFonts w:cs="Times New Roman" w:hAnsi="Times New Roman" w:eastAsia="Times New Roman" w:ascii="Times New Roman"/>
                <w:b w:val="1"/>
                <w:color w:val="ffffff"/>
                <w:sz w:val="18"/>
              </w:rPr>
              <w:t xml:space="preserve"> </w:t>
            </w:r>
          </w:p>
        </w:tc>
        <w:tc>
          <w:tcPr>
            <w:tcW w:w="2036"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right="158" w:firstLine="0"/>
              <w:jc w:val="left"/>
            </w:pPr>
            <w:r>
              <w:rPr>
                <w:rFonts w:cs="Times New Roman" w:hAnsi="Times New Roman" w:eastAsia="Times New Roman" w:ascii="Times New Roman"/>
                <w:b w:val="1"/>
                <w:color w:val="ffffff"/>
                <w:sz w:val="18"/>
              </w:rPr>
              <w:t xml:space="preserve">Impacte &amp;</w:t>
            </w:r>
            <w:r>
              <w:rPr>
                <w:rFonts w:cs="Times New Roman" w:hAnsi="Times New Roman" w:eastAsia="Times New Roman" w:ascii="Times New Roman"/>
                <w:b w:val="1"/>
                <w:color w:val="ffffff"/>
                <w:sz w:val="18"/>
              </w:rPr>
              <w:t xml:space="preserve"> </w:t>
            </w:r>
            <w:r>
              <w:rPr>
                <w:rFonts w:cs="Times New Roman" w:hAnsi="Times New Roman" w:eastAsia="Times New Roman" w:ascii="Times New Roman"/>
                <w:b w:val="1"/>
                <w:color w:val="ffffff"/>
                <w:sz w:val="18"/>
              </w:rPr>
              <w:t xml:space="preserve">Probabilité</w:t>
            </w:r>
            <w:r>
              <w:rPr>
                <w:rFonts w:cs="Times New Roman" w:hAnsi="Times New Roman" w:eastAsia="Times New Roman" w:ascii="Times New Roman"/>
                <w:b w:val="1"/>
                <w:color w:val="ffffff"/>
                <w:sz w:val="18"/>
              </w:rPr>
              <w:t xml:space="preserve"> </w:t>
            </w:r>
          </w:p>
        </w:tc>
        <w:tc>
          <w:tcPr>
            <w:tcW w:w="179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Mesures de gestion du risque</w:t>
            </w:r>
            <w:r>
              <w:rPr>
                <w:rFonts w:cs="Times New Roman" w:hAnsi="Times New Roman" w:eastAsia="Times New Roman" w:ascii="Times New Roman"/>
                <w:b w:val="1"/>
                <w:color w:val="ffffff"/>
                <w:sz w:val="18"/>
              </w:rPr>
              <w:t xml:space="preserve">  </w:t>
            </w:r>
          </w:p>
        </w:tc>
        <w:tc>
          <w:tcPr>
            <w:tcW w:w="127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Responsable</w:t>
            </w:r>
            <w:r>
              <w:rPr>
                <w:rFonts w:cs="Times New Roman" w:hAnsi="Times New Roman" w:eastAsia="Times New Roman" w:ascii="Times New Roman"/>
                <w:b w:val="1"/>
                <w:color w:val="ffffff"/>
                <w:sz w:val="18"/>
              </w:rPr>
              <w:t xml:space="preserve"> </w:t>
            </w:r>
          </w:p>
        </w:tc>
        <w:tc>
          <w:tcPr>
            <w:tcW w:w="108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Identifié par</w:t>
            </w:r>
            <w:r>
              <w:rPr>
                <w:rFonts w:cs="Times New Roman" w:hAnsi="Times New Roman" w:eastAsia="Times New Roman" w:ascii="Times New Roman"/>
                <w:b w:val="1"/>
                <w:color w:val="ffffff"/>
                <w:sz w:val="18"/>
              </w:rPr>
              <w:t xml:space="preserve"> </w:t>
            </w:r>
          </w:p>
        </w:tc>
        <w:tc>
          <w:tcPr>
            <w:tcW w:w="108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Date d’identific ation</w:t>
            </w:r>
            <w:r>
              <w:rPr>
                <w:rFonts w:cs="Times New Roman" w:hAnsi="Times New Roman" w:eastAsia="Times New Roman" w:ascii="Times New Roman"/>
                <w:b w:val="1"/>
                <w:color w:val="ffffff"/>
                <w:sz w:val="18"/>
              </w:rPr>
              <w:t xml:space="preserve"> </w:t>
            </w:r>
          </w:p>
        </w:tc>
        <w:tc>
          <w:tcPr>
            <w:tcW w:w="1081"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Dernière mise à jour</w:t>
            </w:r>
            <w:r>
              <w:rPr>
                <w:rFonts w:cs="Times New Roman" w:hAnsi="Times New Roman" w:eastAsia="Times New Roman" w:ascii="Times New Roman"/>
                <w:b w:val="1"/>
                <w:color w:val="ffffff"/>
                <w:sz w:val="18"/>
              </w:rPr>
              <w:t xml:space="preserve"> </w:t>
            </w:r>
          </w:p>
        </w:tc>
        <w:tc>
          <w:tcPr>
            <w:tcW w:w="2010" w:type="dxa"/>
            <w:tcBorders>
              <w:top w:val="single" w:sz="4" w:color="000000"/>
              <w:left w:val="single" w:sz="4" w:color="000000"/>
              <w:bottom w:val="single" w:sz="4" w:color="000000"/>
              <w:right w:val="single" w:sz="4" w:color="000000"/>
            </w:tcBorders>
            <w:shd w:val="clear" w:fill="365f91"/>
            <w:vAlign w:val="top"/>
          </w:tcPr>
          <w:p>
            <w:pPr>
              <w:spacing w:before="0" w:after="0" w:line="259" w:lineRule="auto"/>
              <w:ind w:left="1" w:firstLine="0"/>
              <w:jc w:val="left"/>
            </w:pPr>
            <w:r>
              <w:rPr>
                <w:rFonts w:cs="Times New Roman" w:hAnsi="Times New Roman" w:eastAsia="Times New Roman" w:ascii="Times New Roman"/>
                <w:b w:val="1"/>
                <w:color w:val="ffffff"/>
                <w:sz w:val="18"/>
              </w:rPr>
              <w:t xml:space="preserve">Statut</w:t>
            </w:r>
            <w:r>
              <w:rPr>
                <w:rFonts w:cs="Times New Roman" w:hAnsi="Times New Roman" w:eastAsia="Times New Roman" w:ascii="Times New Roman"/>
                <w:b w:val="1"/>
                <w:color w:val="ffffff"/>
                <w:sz w:val="18"/>
              </w:rPr>
              <w:t xml:space="preserve"> </w:t>
            </w:r>
          </w:p>
        </w:tc>
      </w:tr>
      <w:tr>
        <w:trPr>
          <w:trHeight w:val="1045" w:hRule="atLeast"/>
        </w:trPr>
        <w:tc>
          <w:tcPr>
            <w:tcW w:w="33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ministériels (MEDD, MATDS, MEF)</w:t>
            </w:r>
            <w:r>
              <w:rPr>
                <w:sz w:val="18"/>
              </w:rPr>
              <w:t xml:space="preserve"> </w:t>
            </w:r>
          </w:p>
        </w:tc>
        <w:tc>
          <w:tcPr>
            <w:tcW w:w="131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03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des résultats fixés</w:t>
            </w:r>
            <w:r>
              <w:rPr>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P = </w:t>
            </w:r>
            <w:r>
              <w:rPr>
                <w:rFonts w:cs="Times New Roman" w:hAnsi="Times New Roman" w:eastAsia="Times New Roman" w:ascii="Times New Roman"/>
                <w:b w:val="1"/>
                <w:sz w:val="18"/>
              </w:rPr>
              <w:t xml:space="preserve">3</w:t>
            </w:r>
            <w:r>
              <w:rPr>
                <w:rFonts w:cs="Times New Roman" w:hAnsi="Times New Roman" w:eastAsia="Times New Roman" w:ascii="Times New Roman"/>
                <w:b w:val="1"/>
                <w:sz w:val="18"/>
              </w:rPr>
              <w:t xml:space="preserve"> </w:t>
            </w:r>
          </w:p>
        </w:tc>
        <w:tc>
          <w:tcPr>
            <w:tcW w:w="179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de gestion des projets pays quant à la meilleure façon de mettre en œuvre le projet</w:t>
            </w:r>
            <w:r>
              <w:rPr>
                <w:sz w:val="18"/>
              </w:rPr>
              <w:t xml:space="preserve"> </w:t>
            </w:r>
          </w:p>
        </w:tc>
        <w:tc>
          <w:tcPr>
            <w:tcW w:w="127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08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08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08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01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1666" w:hRule="atLeast"/>
        </w:trPr>
        <w:tc>
          <w:tcPr>
            <w:tcW w:w="33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4</w:t>
            </w:r>
            <w:r>
              <w:rPr>
                <w:sz w:val="18"/>
              </w:rPr>
              <w:t xml:space="preserve"> </w:t>
            </w: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right="61" w:firstLine="0"/>
              <w:jc w:val="left"/>
            </w:pPr>
            <w:r>
              <w:rPr>
                <w:sz w:val="18"/>
              </w:rPr>
              <w:t xml:space="preserve">Mobilisation insuffisante</w:t>
            </w:r>
            <w:r>
              <w:rPr>
                <w:sz w:val="18"/>
              </w:rPr>
              <w:t xml:space="preserve"> </w:t>
            </w:r>
            <w:r>
              <w:rPr>
                <w:sz w:val="18"/>
              </w:rPr>
              <w:t xml:space="preserve">des ressources additionnelles </w:t>
            </w:r>
            <w:r>
              <w:rPr>
                <w:sz w:val="18"/>
              </w:rPr>
              <w:t xml:space="preserve"> </w:t>
            </w:r>
          </w:p>
        </w:tc>
        <w:tc>
          <w:tcPr>
            <w:tcW w:w="13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Financier</w:t>
            </w:r>
            <w:r>
              <w:rPr>
                <w:sz w:val="18"/>
              </w:rPr>
              <w:t xml:space="preserve"> </w:t>
            </w:r>
          </w:p>
          <w:p>
            <w:pPr>
              <w:spacing w:before="0" w:after="0" w:line="259" w:lineRule="auto"/>
              <w:ind w:left="1" w:firstLine="0"/>
              <w:jc w:val="left"/>
            </w:pPr>
            <w:r>
              <w:rPr>
                <w:sz w:val="18"/>
              </w:rPr>
              <w:t xml:space="preserve"> </w:t>
            </w:r>
          </w:p>
        </w:tc>
        <w:tc>
          <w:tcPr>
            <w:tcW w:w="2036" w:type="dxa"/>
            <w:tcBorders>
              <w:top w:val="single" w:sz="4" w:color="000000"/>
              <w:left w:val="single" w:sz="4" w:color="000000"/>
              <w:bottom w:val="single" w:sz="4" w:color="000000"/>
              <w:right w:val="single" w:sz="4" w:color="000000"/>
            </w:tcBorders>
            <w:vAlign w:val="top"/>
          </w:tcPr>
          <w:p>
            <w:pPr>
              <w:spacing w:before="0" w:after="4" w:line="239" w:lineRule="auto"/>
              <w:ind w:left="1" w:firstLine="0"/>
              <w:jc w:val="left"/>
            </w:pPr>
            <w:r>
              <w:rPr>
                <w:sz w:val="18"/>
              </w:rPr>
              <w:t xml:space="preserve">La non mobilisation des ressources financières additionnelles aura comme principal effet de voir que certaines activités prévues ne soient pas financées</w:t>
            </w:r>
            <w:r>
              <w:rPr>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P = 2</w:t>
            </w:r>
            <w:r>
              <w:rPr>
                <w:rFonts w:cs="Times New Roman" w:hAnsi="Times New Roman" w:eastAsia="Times New Roman" w:ascii="Times New Roman"/>
                <w:b w:val="1"/>
                <w:sz w:val="18"/>
              </w:rPr>
              <w:t xml:space="preserve"> </w:t>
            </w:r>
          </w:p>
        </w:tc>
        <w:tc>
          <w:tcPr>
            <w:tcW w:w="179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Personnes ressource dédiée surtout</w:t>
            </w:r>
            <w:r>
              <w:rPr>
                <w:sz w:val="18"/>
              </w:rPr>
              <w:t xml:space="preserve"> </w:t>
            </w:r>
            <w:r>
              <w:rPr>
                <w:sz w:val="18"/>
              </w:rPr>
              <w:t xml:space="preserve">à la mobilisation des ressources</w:t>
            </w:r>
            <w:r>
              <w:rPr>
                <w:sz w:val="18"/>
              </w:rPr>
              <w:t xml:space="preserve"> </w:t>
            </w:r>
          </w:p>
        </w:tc>
        <w:tc>
          <w:tcPr>
            <w:tcW w:w="127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Chargé de </w:t>
            </w:r>
          </w:p>
          <w:p>
            <w:pPr>
              <w:spacing w:before="0" w:after="0" w:line="259" w:lineRule="auto"/>
              <w:ind w:left="1" w:firstLine="0"/>
              <w:jc w:val="left"/>
            </w:pPr>
            <w:r>
              <w:rPr>
                <w:sz w:val="18"/>
              </w:rPr>
              <w:t xml:space="preserve">Programme </w:t>
            </w:r>
          </w:p>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Avril 2011. A la formulation du sous</w:t>
            </w:r>
            <w:r>
              <w:rPr>
                <w:sz w:val="18"/>
              </w:rPr>
              <w:t xml:space="preserve"/>
            </w:r>
            <w:r>
              <w:rPr>
                <w:sz w:val="18"/>
              </w:rPr>
              <w:t xml:space="preserve">programme</w:t>
            </w:r>
            <w:r>
              <w:rPr>
                <w:sz w:val="18"/>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20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r>
        <w:trPr>
          <w:trHeight w:val="1666" w:hRule="atLeast"/>
        </w:trPr>
        <w:tc>
          <w:tcPr>
            <w:tcW w:w="33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5</w:t>
            </w:r>
            <w:r>
              <w:rPr>
                <w:sz w:val="18"/>
              </w:rPr>
              <w:t xml:space="preserve"> </w:t>
            </w: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right="21" w:firstLine="0"/>
              <w:jc w:val="left"/>
            </w:pPr>
            <w:r>
              <w:rPr>
                <w:sz w:val="18"/>
              </w:rPr>
              <w:t xml:space="preserve">Hésitations de l‟Etat sur la mise en oeuvre</w:t>
            </w:r>
            <w:r>
              <w:rPr>
                <w:sz w:val="18"/>
              </w:rPr>
              <w:t xml:space="preserve"> </w:t>
            </w:r>
            <w:r>
              <w:rPr>
                <w:sz w:val="18"/>
              </w:rPr>
              <w:t xml:space="preserve">du processus de transfert des compétences de gestion des ressources naturelles aux collectivités</w:t>
            </w:r>
            <w:r>
              <w:rPr>
                <w:sz w:val="18"/>
              </w:rPr>
              <w:t xml:space="preserve"> </w:t>
            </w:r>
          </w:p>
        </w:tc>
        <w:tc>
          <w:tcPr>
            <w:tcW w:w="13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Stratégique</w:t>
            </w:r>
            <w:r>
              <w:rPr>
                <w:sz w:val="18"/>
              </w:rPr>
              <w:t xml:space="preserve"> </w:t>
            </w:r>
          </w:p>
        </w:tc>
        <w:tc>
          <w:tcPr>
            <w:tcW w:w="2036" w:type="dxa"/>
            <w:tcBorders>
              <w:top w:val="single" w:sz="4" w:color="000000"/>
              <w:left w:val="single" w:sz="4" w:color="000000"/>
              <w:bottom w:val="single" w:sz="4" w:color="000000"/>
              <w:right w:val="single" w:sz="4" w:color="000000"/>
            </w:tcBorders>
            <w:vAlign w:val="top"/>
          </w:tcPr>
          <w:p>
            <w:pPr>
              <w:spacing w:before="0" w:after="0" w:line="259" w:lineRule="auto"/>
              <w:ind w:left="1" w:right="67" w:firstLine="0"/>
              <w:jc w:val="left"/>
            </w:pPr>
            <w:r>
              <w:rPr>
                <w:sz w:val="18"/>
              </w:rPr>
              <w:t xml:space="preserve">Non réalisation des objectifs du projet</w:t>
            </w:r>
            <w:r>
              <w:rPr>
                <w:sz w:val="18"/>
              </w:rPr>
              <w:t xml:space="preserve"> </w:t>
            </w:r>
            <w:r>
              <w:rPr>
                <w:sz w:val="18"/>
              </w:rPr>
              <w:t xml:space="preserve">relatifs à l‟existence d‟un cadre réglementaire </w:t>
            </w:r>
            <w:r>
              <w:rPr>
                <w:sz w:val="18"/>
              </w:rPr>
              <w:t xml:space="preserve"> </w:t>
            </w:r>
          </w:p>
        </w:tc>
        <w:tc>
          <w:tcPr>
            <w:tcW w:w="1790" w:type="dxa"/>
            <w:tcBorders>
              <w:top w:val="single" w:sz="4" w:color="000000"/>
              <w:left w:val="single" w:sz="4" w:color="000000"/>
              <w:bottom w:val="single" w:sz="4" w:color="000000"/>
              <w:right w:val="single" w:sz="4" w:color="000000"/>
            </w:tcBorders>
            <w:vAlign w:val="top"/>
          </w:tcPr>
          <w:p>
            <w:pPr>
              <w:spacing w:before="0" w:after="0" w:line="259" w:lineRule="auto"/>
              <w:ind w:left="1" w:right="41" w:firstLine="0"/>
              <w:jc w:val="left"/>
            </w:pPr>
            <w:r>
              <w:rPr>
                <w:sz w:val="18"/>
              </w:rPr>
              <w:t xml:space="preserve">La</w:t>
            </w:r>
            <w:r>
              <w:rPr>
                <w:sz w:val="18"/>
              </w:rPr>
              <w:t xml:space="preserve"> </w:t>
            </w:r>
            <w:r>
              <w:rPr>
                <w:sz w:val="18"/>
              </w:rPr>
              <w:t xml:space="preserve">volonté des autorités nationales de juguler la crise</w:t>
            </w:r>
            <w:r>
              <w:rPr>
                <w:sz w:val="18"/>
              </w:rPr>
              <w:t xml:space="preserve"> o</w:t>
            </w:r>
            <w:r>
              <w:rPr>
                <w:sz w:val="18"/>
              </w:rPr>
              <w:t xml:space="preserve">ffre l‟opportunité au Pays d‟avancer sur les reformes qui consolideront la gouvernance</w:t>
            </w:r>
            <w:r>
              <w:rPr>
                <w:sz w:val="18"/>
              </w:rPr>
              <w:t xml:space="preserve">  </w:t>
            </w:r>
          </w:p>
        </w:tc>
        <w:tc>
          <w:tcPr>
            <w:tcW w:w="127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DGCN</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20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r>
        <w:trPr>
          <w:trHeight w:val="1462" w:hRule="atLeast"/>
        </w:trPr>
        <w:tc>
          <w:tcPr>
            <w:tcW w:w="33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6</w:t>
            </w:r>
            <w:r>
              <w:rPr>
                <w:sz w:val="18"/>
              </w:rPr>
              <w:t xml:space="preserve"> </w:t>
            </w:r>
          </w:p>
        </w:tc>
        <w:tc>
          <w:tcPr>
            <w:tcW w:w="2012" w:type="dxa"/>
            <w:tcBorders>
              <w:top w:val="single" w:sz="4" w:color="000000"/>
              <w:left w:val="single" w:sz="4" w:color="000000"/>
              <w:bottom w:val="single" w:sz="4" w:color="000000"/>
              <w:right w:val="single" w:sz="4" w:color="000000"/>
            </w:tcBorders>
            <w:vAlign w:val="top"/>
          </w:tcPr>
          <w:p>
            <w:pPr>
              <w:spacing w:before="0" w:after="0" w:line="259" w:lineRule="auto"/>
              <w:ind w:left="1" w:right="2" w:firstLine="0"/>
              <w:jc w:val="left"/>
            </w:pPr>
            <w:r>
              <w:rPr>
                <w:sz w:val="18"/>
              </w:rPr>
              <w:t xml:space="preserve">Risque de renouvellement important des responsables des collectivités suites aux futures élections municipales</w:t>
            </w:r>
            <w:r>
              <w:rPr>
                <w:sz w:val="18"/>
              </w:rPr>
              <w:t xml:space="preserve"> </w:t>
            </w:r>
          </w:p>
        </w:tc>
        <w:tc>
          <w:tcPr>
            <w:tcW w:w="1310" w:type="dxa"/>
            <w:tcBorders>
              <w:top w:val="single" w:sz="4" w:color="000000"/>
              <w:left w:val="single" w:sz="4" w:color="000000"/>
              <w:bottom w:val="single" w:sz="4" w:color="000000"/>
              <w:right w:val="single" w:sz="4" w:color="000000"/>
            </w:tcBorders>
            <w:vAlign w:val="top"/>
          </w:tcPr>
          <w:p>
            <w:pPr>
              <w:spacing w:before="0" w:after="0" w:line="259" w:lineRule="auto"/>
              <w:ind w:left="1" w:right="50" w:firstLine="0"/>
              <w:jc w:val="left"/>
            </w:pPr>
            <w:r>
              <w:rPr>
                <w:sz w:val="18"/>
              </w:rPr>
              <w:t xml:space="preserve">Socio</w:t>
            </w:r>
            <w:r>
              <w:rPr>
                <w:sz w:val="18"/>
              </w:rPr>
              <w:t xml:space="preserve"/>
            </w:r>
            <w:r>
              <w:rPr>
                <w:sz w:val="18"/>
              </w:rPr>
              <w:t xml:space="preserve">politique</w:t>
            </w:r>
            <w:r>
              <w:rPr>
                <w:sz w:val="18"/>
              </w:rPr>
              <w:t xml:space="preserve"> </w:t>
            </w:r>
          </w:p>
        </w:tc>
        <w:tc>
          <w:tcPr>
            <w:tcW w:w="203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Délais importants d‟appropriation des dossiers engagés par les équipes précédentes</w:t>
            </w:r>
            <w:r>
              <w:rPr>
                <w:sz w:val="18"/>
              </w:rPr>
              <w:t xml:space="preserve"> </w:t>
            </w:r>
          </w:p>
        </w:tc>
        <w:tc>
          <w:tcPr>
            <w:tcW w:w="1790" w:type="dxa"/>
            <w:tcBorders>
              <w:top w:val="single" w:sz="4" w:color="000000"/>
              <w:left w:val="single" w:sz="4" w:color="000000"/>
              <w:bottom w:val="single" w:sz="4" w:color="000000"/>
              <w:right w:val="single" w:sz="4" w:color="000000"/>
            </w:tcBorders>
            <w:vAlign w:val="top"/>
          </w:tcPr>
          <w:p>
            <w:pPr>
              <w:spacing w:before="0" w:after="2" w:line="238" w:lineRule="auto"/>
              <w:ind w:left="1" w:firstLine="0"/>
              <w:jc w:val="left"/>
            </w:pPr>
            <w:r>
              <w:rPr>
                <w:sz w:val="18"/>
              </w:rPr>
              <w:t xml:space="preserve">Porter une attention particulière aux activités de briefing des nouvelles équipes </w:t>
            </w:r>
          </w:p>
          <w:p>
            <w:pPr>
              <w:spacing w:before="0" w:after="0" w:line="259" w:lineRule="auto"/>
              <w:ind w:left="1" w:firstLine="0"/>
              <w:jc w:val="left"/>
            </w:pPr>
            <w:r>
              <w:rPr>
                <w:sz w:val="18"/>
              </w:rPr>
              <w:t xml:space="preserve">des Conseils Régionaux et municipaux</w:t>
            </w:r>
            <w:r>
              <w:rPr>
                <w:sz w:val="18"/>
              </w:rPr>
              <w:t xml:space="preserve"> </w:t>
            </w:r>
          </w:p>
        </w:tc>
        <w:tc>
          <w:tcPr>
            <w:tcW w:w="127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Coordonnateu</w:t>
            </w:r>
          </w:p>
          <w:p>
            <w:pPr>
              <w:spacing w:before="0" w:after="0" w:line="259" w:lineRule="auto"/>
              <w:ind w:left="1" w:firstLine="0"/>
              <w:jc w:val="left"/>
            </w:pPr>
            <w:r>
              <w:rPr>
                <w:sz w:val="18"/>
              </w:rPr>
              <w:t xml:space="preserve">r</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PNUD</w:t>
            </w:r>
            <w:r>
              <w:rPr>
                <w:sz w:val="18"/>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20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bl>
    <w:p>
      <w:pPr>
        <w:tabs>
          <w:tab w:val="center" w:pos="6582"/>
          <w:tab w:val="center" w:pos="7300"/>
        </w:tabs>
        <w:spacing w:before="0" w:after="3" w:line="259" w:lineRule="auto"/>
        <w:ind w:left="0" w:firstLine="0"/>
        <w:jc w:val="left"/>
      </w:pPr>
      <w:r>
        <w:rPr>
          <w:rFonts w:cs="Calibri" w:hAnsi="Calibri" w:eastAsia="Calibri" w:ascii="Calibri"/>
          <w:sz w:val="22"/>
        </w:rPr>
        <w:t xml:space="preserve">	</w:t>
      </w:r>
      <w:r>
        <w:rPr>
          <w:sz w:val="20"/>
        </w:rPr>
        <w:t xml:space="preserve">Page 	</w:t>
      </w:r>
      <w:r>
        <w:rPr>
          <w:sz w:val="20"/>
        </w:rPr>
        <w:t xml:space="preserve"> </w:t>
      </w:r>
      <w:r>
        <w:rPr>
          <w:sz w:val="20"/>
        </w:rPr>
        <w:t xml:space="preserve">sur </w:t>
      </w:r>
      <w:r>
        <w:rPr>
          <w:sz w:val="20"/>
        </w:rPr>
        <w:t xml:space="preserve">60</w:t>
      </w:r>
      <w:r>
        <w:rPr>
          <w:sz w:val="24"/>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pStyle w:val="heading2"/>
        <w:spacing w:before="0" w:after="13" w:line="248" w:lineRule="auto"/>
        <w:ind w:left="10"/>
      </w:pPr>
      <w:r>
        <w:rPr/>
        <w:t xml:space="preserve">SECTION IV</w:t>
      </w:r>
      <w:r>
        <w:rPr/>
        <w:t xml:space="preserve"> </w:t>
      </w:r>
      <w:r>
        <w:rPr/>
        <w:t xml:space="preserve">: BUDGET ET PLAN DE TRAVAIL ANNUEL</w:t>
      </w:r>
      <w:r>
        <w:rPr/>
        <w:t xml:space="preserve"> </w:t>
      </w:r>
    </w:p>
    <w:p>
      <w:pPr>
        <w:spacing w:before="0" w:after="13" w:line="259" w:lineRule="auto"/>
        <w:ind w:left="0" w:firstLine="0"/>
        <w:jc w:val="left"/>
      </w:pPr>
      <w:r>
        <w:rPr>
          <w:sz w:val="24"/>
        </w:rPr>
        <w:t xml:space="preserve"> </w:t>
      </w:r>
    </w:p>
    <w:p>
      <w:pPr>
        <w:pStyle w:val="heading3"/>
        <w:spacing w:before="0" w:after="10" w:line="249" w:lineRule="auto"/>
        <w:ind w:left="-5"/>
      </w:pPr>
      <w:r>
        <w:rPr/>
        <w:t xml:space="preserve">4.1.</w:t>
      </w:r>
      <w:r>
        <w:rPr/>
        <w:t xml:space="preserve"> </w:t>
      </w:r>
      <w:r>
        <w:rPr/>
        <w:t xml:space="preserve">Cadre pluriannuel de résultats et d’allocation des ressources</w:t>
      </w:r>
      <w:r>
        <w:rPr/>
        <w:t xml:space="preserve"> </w:t>
      </w:r>
    </w:p>
    <w:tbl>
      <w:tblPr>
        <w:tblStyle w:val="TableGrid"/>
        <w:tblW w:w="15024" w:type="dxa"/>
        <w:tblInd w:w="-532" w:type="dxa"/>
        <w:tblCellMar>
          <w:top w:w="6" w:type="dxa"/>
          <w:left w:w="107" w:type="dxa"/>
          <w:bottom w:w="0" w:type="dxa"/>
          <w:right w:w="48" w:type="dxa"/>
        </w:tblCellMar>
      </w:tblPr>
      <w:tblGrid>
        <w:gridCol w:w="2284"/>
        <w:gridCol w:w="2775"/>
        <w:gridCol w:w="1853"/>
        <w:gridCol w:w="3720"/>
        <w:gridCol w:w="1382"/>
        <w:gridCol w:w="1136"/>
        <w:gridCol w:w="991"/>
        <w:gridCol w:w="882"/>
      </w:tblGrid>
      <w:tr>
        <w:trPr>
          <w:trHeight w:val="514" w:hRule="atLeast"/>
        </w:trPr>
        <w:tc>
          <w:tcPr>
            <w:tcW w:w="15024" w:type="dxa"/>
            <w:gridSpan w:val="8"/>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firstLine="0"/>
              <w:jc w:val="left"/>
            </w:pPr>
            <w:r>
              <w:rPr>
                <w:rFonts w:cs="Times New Roman" w:hAnsi="Times New Roman" w:eastAsia="Times New Roman" w:ascii="Times New Roman"/>
                <w:b w:val="1"/>
              </w:rPr>
              <w:t xml:space="preserve">Priorités nationales</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la prise en compte des priorités transversales dans les politiques et programmes de développement en vue de la consolidation de l’économie et accélération du rythme de la croissance</w:t>
            </w:r>
            <w:r>
              <w:rPr>
                <w:rFonts w:cs="Times New Roman" w:hAnsi="Times New Roman" w:eastAsia="Times New Roman" w:ascii="Times New Roman"/>
                <w:b w:val="1"/>
              </w:rPr>
              <w:t xml:space="preserve"> </w:t>
            </w:r>
          </w:p>
        </w:tc>
      </w:tr>
      <w:tr>
        <w:trPr>
          <w:trHeight w:val="722" w:hRule="atLeast"/>
        </w:trPr>
        <w:tc>
          <w:tcPr>
            <w:tcW w:w="15024" w:type="dxa"/>
            <w:gridSpan w:val="8"/>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rFonts w:cs="Times New Roman" w:hAnsi="Times New Roman" w:eastAsia="Times New Roman" w:ascii="Times New Roman"/>
                <w:b w:val="1"/>
                <w:sz w:val="24"/>
              </w:rPr>
              <w:t xml:space="preserve">Effet UNDAF</w:t>
            </w: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1</w:t>
            </w: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 La croissance économique accélérée est durable et pro</w:t>
            </w:r>
            <w:r>
              <w:rPr>
                <w:rFonts w:cs="Times New Roman" w:hAnsi="Times New Roman" w:eastAsia="Times New Roman" w:ascii="Times New Roman"/>
                <w:b w:val="1"/>
                <w:sz w:val="24"/>
              </w:rPr>
              <w:t xml:space="preserve">-</w:t>
            </w:r>
            <w:r>
              <w:rPr>
                <w:rFonts w:cs="Times New Roman" w:hAnsi="Times New Roman" w:eastAsia="Times New Roman" w:ascii="Times New Roman"/>
                <w:b w:val="1"/>
                <w:sz w:val="24"/>
              </w:rPr>
              <w:t xml:space="preserve">pauvre</w:t>
            </w:r>
            <w:r>
              <w:rPr>
                <w:rFonts w:cs="Times New Roman" w:hAnsi="Times New Roman" w:eastAsia="Times New Roman" w:ascii="Times New Roman"/>
                <w:b w:val="1"/>
                <w:sz w:val="24"/>
              </w:rPr>
              <w:t xml:space="preserve">  </w:t>
            </w:r>
          </w:p>
        </w:tc>
      </w:tr>
      <w:tr>
        <w:trPr>
          <w:trHeight w:val="716" w:hRule="atLeast"/>
        </w:trPr>
        <w:tc>
          <w:tcPr>
            <w:tcW w:w="15024" w:type="dxa"/>
            <w:gridSpan w:val="8"/>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firstLine="0"/>
              <w:jc w:val="left"/>
            </w:pPr>
            <w:r>
              <w:rPr>
                <w:sz w:val="24"/>
                <w:u w:val="single" w:color="000000"/>
              </w:rPr>
              <w:t xml:space="preserve">Effet attendu du country program action Plan (CPAP) 2011</w:t>
            </w:r>
            <w:r>
              <w:rPr>
                <w:sz w:val="24"/>
                <w:u w:val="single" w:color="000000"/>
              </w:rPr>
              <w:t xml:space="preserve">-</w:t>
            </w:r>
            <w:r>
              <w:rPr>
                <w:sz w:val="24"/>
                <w:u w:val="single" w:color="000000"/>
              </w:rPr>
              <w:t xml:space="preserve">2015</w:t>
            </w: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4"/>
              </w:rPr>
              <w:t xml:space="preserve">Les structures nationales sont mieux outillées pour formuler, mettre en œuvre et suivre des politiques et programmes sectoriels en cohérence avec la SCADD et les OMD y compris les défis démographiques (</w:t>
            </w: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EPP 1.1)</w:t>
            </w:r>
            <w:r>
              <w:rPr>
                <w:rFonts w:cs="Times New Roman" w:hAnsi="Times New Roman" w:eastAsia="Times New Roman" w:ascii="Times New Roman"/>
                <w:b w:val="1"/>
              </w:rPr>
              <w:t xml:space="preserve"> </w:t>
            </w:r>
          </w:p>
        </w:tc>
      </w:tr>
      <w:tr>
        <w:trPr>
          <w:trHeight w:val="839" w:hRule="atLeast"/>
        </w:trPr>
        <w:tc>
          <w:tcPr>
            <w:tcW w:w="15024" w:type="dxa"/>
            <w:gridSpan w:val="8"/>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sz w:val="24"/>
              </w:rPr>
              <w:t xml:space="preserve">Id1.1.1</w:t>
            </w:r>
            <w:r>
              <w:rPr>
                <w:sz w:val="24"/>
              </w:rPr>
              <w:t xml:space="preserve"> </w:t>
            </w:r>
            <w:r>
              <w:rPr>
                <w:sz w:val="24"/>
              </w:rPr>
              <w:t xml:space="preserve">Proportion de  politiques et programmes sectoriels formulée/révisés alignés sur la  SCADD et les OMD </w:t>
            </w:r>
            <w:r>
              <w:rPr>
                <w:rFonts w:cs="Times New Roman" w:hAnsi="Times New Roman" w:eastAsia="Times New Roman" w:ascii="Times New Roman"/>
                <w:b w:val="1"/>
                <w:sz w:val="24"/>
              </w:rPr>
              <w:t xml:space="preserve">Baseline</w:t>
            </w:r>
            <w:r>
              <w:rPr>
                <w:sz w:val="24"/>
              </w:rPr>
              <w:t xml:space="preserve"> (0%), </w:t>
            </w:r>
            <w:r>
              <w:rPr>
                <w:rFonts w:cs="Times New Roman" w:hAnsi="Times New Roman" w:eastAsia="Times New Roman" w:ascii="Times New Roman"/>
                <w:b w:val="1"/>
                <w:sz w:val="24"/>
              </w:rPr>
              <w:t xml:space="preserve">Cible </w:t>
            </w:r>
            <w:r>
              <w:rPr>
                <w:sz w:val="24"/>
              </w:rPr>
              <w:t xml:space="preserve">(100%). </w:t>
            </w:r>
          </w:p>
          <w:p>
            <w:pPr>
              <w:spacing w:before="0" w:after="0" w:line="259" w:lineRule="auto"/>
              <w:ind w:left="0" w:firstLine="0"/>
              <w:jc w:val="left"/>
            </w:pPr>
            <w:r>
              <w:rPr>
                <w:rFonts w:cs="Times New Roman" w:hAnsi="Times New Roman" w:eastAsia="Times New Roman" w:ascii="Times New Roman"/>
                <w:b w:val="1"/>
                <w:sz w:val="24"/>
              </w:rPr>
              <w:t xml:space="preserve">Id.3.4.1.</w:t>
            </w:r>
            <w:r>
              <w:rPr>
                <w:sz w:val="24"/>
              </w:rPr>
              <w:t xml:space="preserve"> </w:t>
            </w:r>
            <w:r>
              <w:rPr>
                <w:sz w:val="24"/>
              </w:rPr>
              <w:t xml:space="preserve">Nombre de politiques et programmes sectoriels intégrant la dimension genre. </w:t>
            </w:r>
            <w:r>
              <w:rPr>
                <w:rFonts w:cs="Times New Roman" w:hAnsi="Times New Roman" w:eastAsia="Times New Roman" w:ascii="Times New Roman"/>
                <w:b w:val="1"/>
                <w:sz w:val="24"/>
              </w:rPr>
              <w:t xml:space="preserve">Baseline</w:t>
            </w:r>
            <w:r>
              <w:rPr>
                <w:rFonts w:cs="Times New Roman" w:hAnsi="Times New Roman" w:eastAsia="Times New Roman" w:ascii="Times New Roman"/>
                <w:b w:val="1"/>
                <w:sz w:val="24"/>
              </w:rPr>
              <w:t xml:space="preserve"> </w:t>
            </w:r>
            <w:r>
              <w:rPr>
                <w:sz w:val="24"/>
              </w:rPr>
              <w:t xml:space="preserve">: Politique et plan d‟actions nationale genre; </w:t>
            </w:r>
            <w:r>
              <w:rPr>
                <w:rFonts w:cs="Times New Roman" w:hAnsi="Times New Roman" w:eastAsia="Times New Roman" w:ascii="Times New Roman"/>
                <w:b w:val="1"/>
                <w:sz w:val="24"/>
              </w:rPr>
              <w:t xml:space="preserve">Cible</w:t>
            </w:r>
            <w:r>
              <w:rPr>
                <w:sz w:val="24"/>
              </w:rPr>
              <w:t xml:space="preserve"> </w:t>
            </w:r>
            <w:r>
              <w:rPr>
                <w:sz w:val="24"/>
              </w:rPr>
              <w:t xml:space="preserve">Nombre  final d‟acteurs formés</w:t>
            </w:r>
            <w:r>
              <w:rPr>
                <w:rFonts w:cs="Times New Roman" w:hAnsi="Times New Roman" w:eastAsia="Times New Roman" w:ascii="Times New Roman"/>
                <w:b w:val="1"/>
                <w:sz w:val="24"/>
              </w:rPr>
              <w:t xml:space="preserve"> </w:t>
            </w:r>
          </w:p>
        </w:tc>
      </w:tr>
      <w:tr>
        <w:trPr>
          <w:trHeight w:val="485" w:hRule="atLeast"/>
        </w:trPr>
        <w:tc>
          <w:tcPr>
            <w:tcW w:w="15024" w:type="dxa"/>
            <w:gridSpan w:val="8"/>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sz w:val="24"/>
                <w:u w:val="single" w:color="000000"/>
              </w:rPr>
              <w:t xml:space="preserve">Ligne de service du plan stratégique 2008</w:t>
            </w:r>
            <w:r>
              <w:rPr>
                <w:sz w:val="24"/>
                <w:u w:val="single" w:color="000000"/>
              </w:rPr>
              <w:t xml:space="preserve">-</w:t>
            </w:r>
            <w:r>
              <w:rPr>
                <w:sz w:val="24"/>
                <w:u w:val="single" w:color="000000"/>
              </w:rPr>
              <w:t xml:space="preserve">2013</w:t>
            </w:r>
            <w:r>
              <w:rPr>
                <w:sz w:val="24"/>
                <w:u w:val="single" w:color="000000"/>
              </w:rPr>
              <w:t xml:space="preserve"> </w:t>
            </w:r>
            <w:r>
              <w:rPr>
                <w:sz w:val="24"/>
                <w:u w:val="single" w:color="000000"/>
              </w:rPr>
              <w:t xml:space="preserve">:</w:t>
            </w:r>
            <w:r>
              <w:rPr>
                <w:sz w:val="20"/>
              </w:rPr>
              <w:t xml:space="preserve"> </w:t>
            </w:r>
            <w:r>
              <w:rPr>
                <w:sz w:val="24"/>
              </w:rPr>
              <w:t xml:space="preserve">Mainstreaming environment and energy</w:t>
            </w:r>
            <w:r>
              <w:rPr>
                <w:rFonts w:cs="Times New Roman" w:hAnsi="Times New Roman" w:eastAsia="Times New Roman" w:ascii="Times New Roman"/>
                <w:b w:val="1"/>
              </w:rPr>
              <w:t xml:space="preserve"> </w:t>
            </w:r>
          </w:p>
        </w:tc>
      </w:tr>
      <w:tr>
        <w:trPr>
          <w:trHeight w:val="579" w:hRule="atLeast"/>
        </w:trPr>
        <w:tc>
          <w:tcPr>
            <w:tcW w:w="15024" w:type="dxa"/>
            <w:gridSpan w:val="8"/>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u w:val="single" w:color="000000"/>
              </w:rPr>
              <w:t xml:space="preserve">Stratégie de partenariat</w:t>
            </w:r>
            <w:r>
              <w:rPr>
                <w:u w:val="single" w:color="000000"/>
              </w:rPr>
              <w:t xml:space="preserve"> </w:t>
            </w:r>
            <w:r>
              <w:rPr/>
              <w:t xml:space="preserve">:</w:t>
            </w:r>
            <w:r>
              <w:rPr/>
              <w:t xml:space="preserve"> </w:t>
            </w:r>
            <w:r>
              <w:rPr/>
              <w:t xml:space="preserve">développer et mettre en œuvre un dispositif d‟appui aux collectivités en partenariat avec d‟autres PTF</w:t>
            </w:r>
            <w:r>
              <w:rPr/>
              <w:t xml:space="preserve"> </w:t>
            </w:r>
            <w:r>
              <w:rPr>
                <w:rFonts w:cs="Times New Roman" w:hAnsi="Times New Roman" w:eastAsia="Times New Roman" w:ascii="Times New Roman"/>
                <w:b w:val="1"/>
              </w:rPr>
              <w:t xml:space="preserve"> </w:t>
            </w:r>
            <w:r>
              <w:rPr/>
              <w:t xml:space="preserve"> </w:t>
            </w:r>
          </w:p>
        </w:tc>
      </w:tr>
      <w:tr>
        <w:trPr>
          <w:trHeight w:val="718" w:hRule="atLeast"/>
        </w:trPr>
        <w:tc>
          <w:tcPr>
            <w:tcW w:w="15024" w:type="dxa"/>
            <w:gridSpan w:val="8"/>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u w:val="single" w:color="000000"/>
              </w:rPr>
              <w:t xml:space="preserve">Titre du projet et ID Atlas (award ID)</w:t>
            </w:r>
            <w:r>
              <w:rPr>
                <w:u w:val="single" w:color="000000"/>
              </w:rPr>
              <w:t xml:space="preserve"> </w:t>
            </w:r>
            <w:r>
              <w:rPr>
                <w:u w:val="single" w:color="000000"/>
              </w:rPr>
              <w:t xml:space="preserve">: </w:t>
            </w:r>
            <w:r>
              <w:rPr>
                <w:rFonts w:cs="Times New Roman" w:hAnsi="Times New Roman" w:eastAsia="Times New Roman" w:ascii="Times New Roman"/>
                <w:b w:val="1"/>
                <w:u w:val="single" w:color="000000"/>
              </w:rPr>
              <w:t xml:space="preserve">Consolidation de la Gouvernance Environnementale</w:t>
            </w:r>
            <w:r>
              <w:rPr>
                <w:rFonts w:cs="Times New Roman" w:hAnsi="Times New Roman" w:eastAsia="Times New Roman" w:ascii="Times New Roman"/>
                <w:b w:val="1"/>
                <w:u w:val="single" w:color="000000"/>
              </w:rPr>
              <w:t xml:space="preserve"> </w:t>
            </w:r>
            <w:r>
              <w:rPr>
                <w:rFonts w:cs="Times New Roman" w:hAnsi="Times New Roman" w:eastAsia="Times New Roman" w:ascii="Times New Roman"/>
                <w:b w:val="1"/>
                <w:u w:val="single" w:color="000000"/>
              </w:rPr>
              <w:t xml:space="preserve">locale</w:t>
            </w:r>
            <w:r>
              <w:rPr/>
              <w:t xml:space="preserve"> </w:t>
            </w:r>
          </w:p>
        </w:tc>
      </w:tr>
      <w:tr>
        <w:trPr>
          <w:trHeight w:val="425" w:hRule="atLeast"/>
        </w:trPr>
        <w:tc>
          <w:tcPr>
            <w:tcW w:w="2284"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center"/>
            </w:pPr>
            <w:r>
              <w:rPr>
                <w:rFonts w:cs="Times New Roman" w:hAnsi="Times New Roman" w:eastAsia="Times New Roman" w:ascii="Times New Roman"/>
                <w:b w:val="1"/>
                <w:sz w:val="18"/>
              </w:rPr>
              <w:t xml:space="preserve">Produits</w:t>
            </w:r>
            <w:r>
              <w:rPr>
                <w:rFonts w:cs="Times New Roman" w:hAnsi="Times New Roman" w:eastAsia="Times New Roman" w:ascii="Times New Roman"/>
                <w:b w:val="1"/>
                <w:sz w:val="18"/>
              </w:rPr>
              <w:t xml:space="preserve"> </w:t>
            </w:r>
          </w:p>
        </w:tc>
        <w:tc>
          <w:tcPr>
            <w:tcW w:w="2775"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67" w:firstLine="0"/>
              <w:jc w:val="center"/>
            </w:pPr>
            <w:r>
              <w:rPr>
                <w:rFonts w:cs="Times New Roman" w:hAnsi="Times New Roman" w:eastAsia="Times New Roman" w:ascii="Times New Roman"/>
                <w:b w:val="1"/>
                <w:sz w:val="18"/>
              </w:rPr>
              <w:t xml:space="preserve">Sous produits</w:t>
            </w:r>
            <w:r>
              <w:rPr>
                <w:rFonts w:cs="Times New Roman" w:hAnsi="Times New Roman" w:eastAsia="Times New Roman" w:ascii="Times New Roman"/>
                <w:b w:val="1"/>
                <w:sz w:val="18"/>
              </w:rPr>
              <w:t xml:space="preserve"> </w:t>
            </w:r>
          </w:p>
        </w:tc>
        <w:tc>
          <w:tcPr>
            <w:tcW w:w="1853"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14" w:firstLine="0"/>
              <w:jc w:val="center"/>
            </w:pPr>
            <w:r>
              <w:rPr>
                <w:rFonts w:cs="Times New Roman" w:hAnsi="Times New Roman" w:eastAsia="Times New Roman" w:ascii="Times New Roman"/>
                <w:b w:val="1"/>
                <w:sz w:val="18"/>
              </w:rPr>
              <w:t xml:space="preserve"> </w:t>
            </w:r>
          </w:p>
          <w:p>
            <w:pPr>
              <w:spacing w:before="0" w:after="0" w:line="259" w:lineRule="auto"/>
              <w:ind w:left="0" w:right="59" w:firstLine="0"/>
              <w:jc w:val="center"/>
            </w:pPr>
            <w:r>
              <w:rPr>
                <w:rFonts w:cs="Times New Roman" w:hAnsi="Times New Roman" w:eastAsia="Times New Roman" w:ascii="Times New Roman"/>
                <w:b w:val="1"/>
                <w:sz w:val="18"/>
              </w:rPr>
              <w:t xml:space="preserve">Cibles annuelles</w:t>
            </w:r>
            <w:r>
              <w:rPr>
                <w:rFonts w:cs="Times New Roman" w:hAnsi="Times New Roman" w:eastAsia="Times New Roman" w:ascii="Times New Roman"/>
                <w:b w:val="1"/>
                <w:sz w:val="18"/>
                <w:vertAlign w:val="superscript"/>
              </w:rPr>
              <w:footnoteReference w:id="55"/>
            </w:r>
            <w:r>
              <w:rPr>
                <w:rFonts w:cs="Times New Roman" w:hAnsi="Times New Roman" w:eastAsia="Times New Roman" w:ascii="Times New Roman"/>
                <w:b w:val="1"/>
                <w:sz w:val="18"/>
              </w:rPr>
              <w:t xml:space="preserve"> </w:t>
            </w:r>
          </w:p>
        </w:tc>
        <w:tc>
          <w:tcPr>
            <w:tcW w:w="3720"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center"/>
            </w:pPr>
            <w:r>
              <w:rPr>
                <w:rFonts w:cs="Times New Roman" w:hAnsi="Times New Roman" w:eastAsia="Times New Roman" w:ascii="Times New Roman"/>
                <w:b w:val="1"/>
                <w:sz w:val="18"/>
              </w:rPr>
              <w:t xml:space="preserve">Activité</w:t>
            </w:r>
            <w:r>
              <w:rPr>
                <w:rFonts w:cs="Times New Roman" w:hAnsi="Times New Roman" w:eastAsia="Times New Roman" w:ascii="Times New Roman"/>
                <w:b w:val="1"/>
                <w:sz w:val="18"/>
              </w:rPr>
              <w:t xml:space="preserve"> </w:t>
            </w:r>
          </w:p>
        </w:tc>
        <w:tc>
          <w:tcPr>
            <w:tcW w:w="1382"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sz w:val="18"/>
              </w:rPr>
              <w:t xml:space="preserve">Responsabilité</w:t>
            </w:r>
            <w:r>
              <w:rPr>
                <w:rFonts w:cs="Times New Roman" w:hAnsi="Times New Roman" w:eastAsia="Times New Roman" w:ascii="Times New Roman"/>
                <w:b w:val="1"/>
                <w:sz w:val="18"/>
              </w:rPr>
              <w:t xml:space="preserve"> </w:t>
            </w:r>
          </w:p>
        </w:tc>
        <w:tc>
          <w:tcPr>
            <w:tcW w:w="113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sz w:val="16"/>
              </w:rPr>
              <w:t xml:space="preserve">Contribution  </w:t>
            </w:r>
          </w:p>
          <w:p>
            <w:pPr>
              <w:spacing w:before="0" w:after="5" w:line="259" w:lineRule="auto"/>
              <w:ind w:left="1" w:firstLine="0"/>
              <w:jc w:val="left"/>
            </w:pPr>
            <w:r>
              <w:rPr>
                <w:rFonts w:cs="Times New Roman" w:hAnsi="Times New Roman" w:eastAsia="Times New Roman" w:ascii="Times New Roman"/>
                <w:b w:val="1"/>
                <w:sz w:val="16"/>
              </w:rPr>
              <w:t xml:space="preserve">PNUD/BF </w:t>
            </w:r>
          </w:p>
          <w:p>
            <w:pPr>
              <w:spacing w:before="0" w:after="0" w:line="259" w:lineRule="auto"/>
              <w:ind w:left="1" w:firstLine="0"/>
              <w:jc w:val="left"/>
            </w:pPr>
            <w:r>
              <w:rPr>
                <w:rFonts w:cs="Arial" w:hAnsi="Arial" w:eastAsia="Arial" w:ascii="Arial"/>
                <w:b w:val="1"/>
                <w:sz w:val="16"/>
              </w:rPr>
              <w:t xml:space="preserve">(</w:t>
            </w:r>
            <w:r>
              <w:rPr>
                <w:rFonts w:cs="Arial" w:hAnsi="Arial" w:eastAsia="Arial" w:ascii="Arial"/>
                <w:sz w:val="16"/>
              </w:rPr>
              <w:t xml:space="preserve">US$)</w:t>
            </w:r>
            <w:r>
              <w:rPr>
                <w:rFonts w:cs="Arial" w:hAnsi="Arial" w:eastAsia="Arial" w:ascii="Arial"/>
                <w:sz w:val="16"/>
              </w:rPr>
              <w:t xml:space="preserve"> </w:t>
            </w:r>
            <w:r>
              <w:rPr>
                <w:rFonts w:cs="Times New Roman" w:hAnsi="Times New Roman" w:eastAsia="Times New Roman" w:ascii="Times New Roman"/>
                <w:b w:val="1"/>
                <w:sz w:val="16"/>
              </w:rPr>
              <w:t xml:space="preserve"> </w:t>
            </w:r>
          </w:p>
        </w:tc>
        <w:tc>
          <w:tcPr>
            <w:tcW w:w="1873"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rFonts w:cs="Times New Roman" w:hAnsi="Times New Roman" w:eastAsia="Times New Roman" w:ascii="Times New Roman"/>
                <w:b w:val="1"/>
                <w:sz w:val="18"/>
              </w:rPr>
              <w:t xml:space="preserve">Contribution</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Partenaires </w:t>
            </w:r>
            <w:r>
              <w:rPr>
                <w:rFonts w:cs="Arial" w:hAnsi="Arial" w:eastAsia="Arial" w:ascii="Arial"/>
                <w:b w:val="1"/>
                <w:sz w:val="16"/>
              </w:rPr>
              <w:t xml:space="preserve">(</w:t>
            </w:r>
            <w:r>
              <w:rPr>
                <w:rFonts w:cs="Arial" w:hAnsi="Arial" w:eastAsia="Arial" w:ascii="Arial"/>
                <w:sz w:val="16"/>
              </w:rPr>
              <w:t xml:space="preserve">US$)</w:t>
            </w:r>
            <w:r>
              <w:rPr>
                <w:rFonts w:cs="Times New Roman" w:hAnsi="Times New Roman" w:eastAsia="Times New Roman" w:ascii="Times New Roman"/>
                <w:b w:val="1"/>
                <w:sz w:val="18"/>
              </w:rPr>
              <w:t xml:space="preserve">  </w:t>
            </w:r>
          </w:p>
        </w:tc>
      </w:tr>
      <w:tr>
        <w:trPr>
          <w:trHeight w:val="21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88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8"/>
              </w:rPr>
              <w:t xml:space="preserve"> </w:t>
            </w:r>
          </w:p>
        </w:tc>
      </w:tr>
      <w:tr>
        <w:trPr>
          <w:trHeight w:val="581" w:hRule="atLeast"/>
        </w:trPr>
        <w:tc>
          <w:tcPr>
            <w:tcW w:w="2284" w:type="dxa"/>
            <w:vMerge w:val="restart"/>
            <w:tcBorders>
              <w:top w:val="single" w:sz="4" w:color="000000"/>
              <w:left w:val="single" w:sz="4" w:color="000000"/>
              <w:bottom w:val="single" w:sz="4" w:color="000000"/>
              <w:right w:val="single" w:sz="4" w:color="000000"/>
            </w:tcBorders>
            <w:vAlign w:val="top"/>
          </w:tcPr>
          <w:p>
            <w:pPr>
              <w:spacing w:before="0" w:after="32" w:line="259" w:lineRule="auto"/>
              <w:ind w:left="0" w:firstLine="0"/>
              <w:jc w:val="left"/>
            </w:pPr>
            <w:r>
              <w:rPr>
                <w:rFonts w:cs="Times New Roman" w:hAnsi="Times New Roman" w:eastAsia="Times New Roman" w:ascii="Times New Roman"/>
                <w:b w:val="1"/>
                <w:sz w:val="18"/>
              </w:rPr>
              <w:t xml:space="preserve">  </w:t>
            </w:r>
          </w:p>
          <w:p>
            <w:pPr>
              <w:spacing w:before="0" w:after="0" w:line="259" w:lineRule="auto"/>
              <w:ind w:left="0" w:right="224" w:firstLine="0"/>
            </w:pPr>
            <w:r>
              <w:rPr>
                <w:rFonts w:cs="Times New Roman" w:hAnsi="Times New Roman" w:eastAsia="Times New Roman" w:ascii="Times New Roman"/>
                <w:b w:val="1"/>
                <w:sz w:val="20"/>
              </w:rPr>
              <w:t xml:space="preserve">Produit 1</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EPP 1.1</w:t>
            </w:r>
            <w:r>
              <w:rPr>
                <w:sz w:val="16"/>
              </w:rPr>
              <w:t xml:space="preserve">  </w:t>
            </w:r>
            <w:r>
              <w:rPr>
                <w:rFonts w:cs="Times New Roman" w:hAnsi="Times New Roman" w:eastAsia="Times New Roman" w:ascii="Times New Roman"/>
                <w:i w:val="1"/>
              </w:rPr>
              <w:t xml:space="preserve">Les thèmes transversaux</w:t>
            </w:r>
            <w:r>
              <w:rPr>
                <w:rFonts w:cs="Times New Roman" w:hAnsi="Times New Roman" w:eastAsia="Times New Roman" w:ascii="Times New Roman"/>
                <w:i w:val="1"/>
                <w:vertAlign w:val="superscript"/>
              </w:rPr>
              <w:footnoteReference w:id="56"/>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sont mieux intégrés dans la SCADD et les politiques sectorielles </w:t>
            </w:r>
          </w:p>
        </w:tc>
        <w:tc>
          <w:tcPr>
            <w:tcW w:w="2775"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Produit 1.</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du projet</w:t>
            </w:r>
            <w:r>
              <w:rPr>
                <w:rFonts w:cs="Times New Roman" w:hAnsi="Times New Roman" w:eastAsia="Times New Roman" w:ascii="Times New Roman"/>
                <w:b w:val="1"/>
                <w:sz w:val="18"/>
              </w:rPr>
              <w:t xml:space="preserve">:</w:t>
            </w:r>
            <w:r>
              <w:rPr>
                <w:sz w:val="18"/>
              </w:rPr>
              <w:t xml:space="preserve"> </w:t>
            </w:r>
          </w:p>
          <w:p>
            <w:pPr>
              <w:spacing w:before="0" w:after="0" w:line="259" w:lineRule="auto"/>
              <w:ind w:left="1" w:firstLine="0"/>
              <w:jc w:val="left"/>
            </w:pPr>
            <w:r>
              <w:rPr>
                <w:rFonts w:cs="Times New Roman" w:hAnsi="Times New Roman" w:eastAsia="Times New Roman" w:ascii="Times New Roman"/>
                <w:i w:val="1"/>
                <w:sz w:val="20"/>
              </w:rPr>
              <w:t xml:space="preserve">Les structures centrales sont outillées pour assurer la prise en compte des principes du DD dans la mise en œuvre de la SCADD et des plans locaux de </w:t>
            </w:r>
          </w:p>
        </w:tc>
        <w:tc>
          <w:tcPr>
            <w:tcW w:w="1853"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p>
            <w:pPr>
              <w:spacing w:before="0" w:after="0" w:line="259" w:lineRule="auto"/>
              <w:ind w:left="1" w:firstLine="0"/>
              <w:jc w:val="left"/>
            </w:pPr>
            <w:r>
              <w:rPr>
                <w:sz w:val="20"/>
              </w:rPr>
              <w:t xml:space="preserve">  </w:t>
            </w:r>
          </w:p>
        </w:tc>
        <w:tc>
          <w:tcPr>
            <w:tcW w:w="3720" w:type="dxa"/>
            <w:tcBorders>
              <w:top w:val="single" w:sz="4" w:color="000000"/>
              <w:left w:val="single" w:sz="4" w:color="000000"/>
              <w:bottom w:val="single" w:sz="4" w:color="000000"/>
              <w:right w:val="single" w:sz="4" w:color="000000"/>
            </w:tcBorders>
            <w:vAlign w:val="top"/>
          </w:tcPr>
          <w:p>
            <w:pPr>
              <w:spacing w:before="0" w:after="21" w:line="259" w:lineRule="auto"/>
              <w:ind w:left="1" w:firstLine="0"/>
              <w:jc w:val="left"/>
            </w:pPr>
            <w:r>
              <w:rPr>
                <w:sz w:val="16"/>
              </w:rPr>
              <w:t xml:space="preserve"> </w:t>
            </w:r>
          </w:p>
          <w:p>
            <w:pPr>
              <w:spacing w:before="0" w:after="0" w:line="259" w:lineRule="auto"/>
              <w:ind w:left="361" w:hanging="360"/>
              <w:jc w:val="left"/>
            </w:pPr>
            <w:r>
              <w:rPr>
                <w:rFonts w:cs="Times New Roman" w:hAnsi="Times New Roman" w:eastAsia="Times New Roman" w:ascii="Times New Roman"/>
                <w:b w:val="1"/>
                <w:sz w:val="18"/>
              </w:rPr>
              <w:t xml:space="preserve">1.1</w:t>
            </w:r>
            <w:r>
              <w:rPr>
                <w:rFonts w:cs="Arial" w:hAnsi="Arial" w:eastAsia="Arial" w:ascii="Arial"/>
                <w:b w:val="1"/>
                <w:sz w:val="18"/>
              </w:rPr>
              <w:t xml:space="preserve"> </w:t>
            </w:r>
            <w:r>
              <w:rPr>
                <w:sz w:val="16"/>
              </w:rPr>
              <w:t xml:space="preserve">Renforcement des capacités de suivi de la SCADD par  les structures du MEDD</w:t>
            </w:r>
            <w:r>
              <w:rPr>
                <w:rFonts w:cs="Times New Roman" w:hAnsi="Times New Roman" w:eastAsia="Times New Roman" w:ascii="Times New Roman"/>
                <w:b w:val="1"/>
                <w:sz w:val="18"/>
              </w:rPr>
              <w:t xml:space="preserve"> </w:t>
            </w:r>
          </w:p>
        </w:tc>
        <w:tc>
          <w:tcPr>
            <w:tcW w:w="138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 </w:t>
            </w:r>
          </w:p>
          <w:p>
            <w:pPr>
              <w:spacing w:before="0" w:after="0" w:line="259" w:lineRule="auto"/>
              <w:ind w:left="1" w:firstLine="0"/>
              <w:jc w:val="left"/>
            </w:pPr>
            <w:r>
              <w:rPr>
                <w:rFonts w:cs="Arial" w:hAnsi="Arial" w:eastAsia="Arial" w:ascii="Arial"/>
                <w:sz w:val="16"/>
              </w:rPr>
              <w:t xml:space="preserve">DEP/MEDD</w:t>
            </w:r>
            <w:r>
              <w:rPr>
                <w:rFonts w:cs="Arial" w:hAnsi="Arial" w:eastAsia="Arial" w:ascii="Arial"/>
                <w:sz w:val="16"/>
              </w:rPr>
              <w:t xml:space="preserve"> </w:t>
            </w:r>
          </w:p>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136" w:type="dxa"/>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right"/>
            </w:pPr>
            <w:r>
              <w:rPr>
                <w:rFonts w:cs="Arial" w:hAnsi="Arial" w:eastAsia="Arial" w:ascii="Arial"/>
                <w:sz w:val="16"/>
              </w:rPr>
              <w:t xml:space="preserve">70 000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center"/>
          </w:tcPr>
          <w:p>
            <w:pPr>
              <w:spacing w:before="0" w:after="0" w:line="259" w:lineRule="auto"/>
              <w:ind w:left="1" w:firstLine="0"/>
              <w:jc w:val="left"/>
            </w:pPr>
            <w:r>
              <w:rPr>
                <w:rFonts w:cs="Arial" w:hAnsi="Arial" w:eastAsia="Arial" w:ascii="Arial"/>
                <w:sz w:val="16"/>
              </w:rPr>
              <w:t xml:space="preserve"> </w:t>
            </w:r>
          </w:p>
        </w:tc>
        <w:tc>
          <w:tcPr>
            <w:tcW w:w="882" w:type="dxa"/>
            <w:tcBorders>
              <w:top w:val="single" w:sz="4" w:color="000000"/>
              <w:left w:val="single" w:sz="4" w:color="000000"/>
              <w:bottom w:val="single" w:sz="4" w:color="000000"/>
              <w:right w:val="single" w:sz="4" w:color="000000"/>
            </w:tcBorders>
            <w:vAlign w:val="center"/>
          </w:tcPr>
          <w:p>
            <w:pPr>
              <w:spacing w:before="0" w:after="0" w:line="259" w:lineRule="auto"/>
              <w:ind w:left="0" w:right="21" w:firstLine="0"/>
              <w:jc w:val="center"/>
            </w:pPr>
            <w:r>
              <w:rPr>
                <w:rFonts w:cs="Arial" w:hAnsi="Arial" w:eastAsia="Arial" w:ascii="Arial"/>
                <w:sz w:val="16"/>
              </w:rPr>
              <w:t xml:space="preserve"> </w:t>
            </w:r>
          </w:p>
        </w:tc>
      </w:tr>
      <w:tr>
        <w:trPr>
          <w:trHeight w:val="34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6"/>
              </w:rPr>
              <w:t xml:space="preserve">1.2</w:t>
            </w:r>
            <w:r>
              <w:rPr>
                <w:rFonts w:cs="Arial" w:hAnsi="Arial" w:eastAsia="Arial" w:ascii="Arial"/>
                <w:sz w:val="16"/>
              </w:rPr>
              <w:t xml:space="preserve"> </w:t>
            </w:r>
            <w:r>
              <w:rPr>
                <w:sz w:val="16"/>
              </w:rPr>
              <w:t xml:space="preserve">Appui à la finalisation et au pilotage </w:t>
            </w:r>
            <w:r>
              <w:rPr>
                <w:sz w:val="18"/>
              </w:rPr>
              <w:t xml:space="preserve">du PNSR</w:t>
            </w:r>
            <w:r>
              <w:rPr>
                <w:sz w:val="16"/>
              </w:rPr>
              <w:t xml:space="preserve"> </w:t>
            </w:r>
          </w:p>
        </w:tc>
        <w:tc>
          <w:tcPr>
            <w:tcW w:w="138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SP/CPSA</w:t>
            </w:r>
            <w:r>
              <w:rPr>
                <w:rFonts w:cs="Arial" w:hAnsi="Arial" w:eastAsia="Arial" w:ascii="Arial"/>
                <w:sz w:val="16"/>
              </w:rPr>
              <w:t xml:space="preserve"> </w:t>
            </w:r>
          </w:p>
        </w:tc>
        <w:tc>
          <w:tcPr>
            <w:tcW w:w="1136" w:type="dxa"/>
            <w:tcBorders>
              <w:top w:val="single" w:sz="4" w:color="000000"/>
              <w:left w:val="single" w:sz="4" w:color="000000"/>
              <w:bottom w:val="single" w:sz="4" w:color="000000"/>
              <w:right w:val="single" w:sz="4" w:color="000000"/>
            </w:tcBorders>
            <w:vAlign w:val="top"/>
          </w:tcPr>
          <w:p>
            <w:pPr>
              <w:spacing w:before="0" w:after="0" w:line="259" w:lineRule="auto"/>
              <w:ind w:left="0" w:right="61" w:firstLine="0"/>
              <w:jc w:val="right"/>
            </w:pPr>
            <w:r>
              <w:rPr>
                <w:rFonts w:cs="Arial" w:hAnsi="Arial" w:eastAsia="Arial" w:ascii="Arial"/>
                <w:sz w:val="16"/>
              </w:rPr>
              <w:t xml:space="preserve">300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 </w:t>
            </w:r>
          </w:p>
        </w:tc>
        <w:tc>
          <w:tcPr>
            <w:tcW w:w="882" w:type="dxa"/>
            <w:tcBorders>
              <w:top w:val="single" w:sz="4" w:color="000000"/>
              <w:left w:val="single" w:sz="4" w:color="000000"/>
              <w:bottom w:val="single" w:sz="4" w:color="000000"/>
              <w:right w:val="single" w:sz="4" w:color="000000"/>
            </w:tcBorders>
            <w:vAlign w:val="top"/>
          </w:tcPr>
          <w:p>
            <w:pPr>
              <w:spacing w:before="0" w:after="0" w:line="259" w:lineRule="auto"/>
              <w:ind w:left="0" w:right="21" w:firstLine="0"/>
              <w:jc w:val="center"/>
            </w:pPr>
            <w:r>
              <w:rPr>
                <w:rFonts w:cs="Arial" w:hAnsi="Arial" w:eastAsia="Arial" w:ascii="Arial"/>
                <w:sz w:val="16"/>
              </w:rPr>
              <w:t xml:space="preserve"> </w:t>
            </w:r>
          </w:p>
        </w:tc>
      </w:tr>
      <w:tr>
        <w:trPr>
          <w:trHeight w:val="42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1.3</w:t>
            </w:r>
            <w:r>
              <w:rPr>
                <w:rFonts w:cs="Arial" w:hAnsi="Arial" w:eastAsia="Arial" w:ascii="Arial"/>
                <w:sz w:val="18"/>
              </w:rPr>
              <w:t xml:space="preserve"> </w:t>
            </w:r>
            <w:r>
              <w:rPr>
                <w:sz w:val="18"/>
              </w:rPr>
              <w:t xml:space="preserve">Appui au transfert de compétence de gestion des RN aux CT</w:t>
            </w:r>
            <w:r>
              <w:rPr>
                <w:sz w:val="18"/>
              </w:rPr>
              <w:t xml:space="preserve"> </w:t>
            </w:r>
          </w:p>
        </w:tc>
        <w:tc>
          <w:tcPr>
            <w:tcW w:w="138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DGCN</w:t>
            </w:r>
            <w:r>
              <w:rPr>
                <w:sz w:val="18"/>
              </w:rPr>
              <w:t xml:space="preserve"> </w:t>
            </w:r>
          </w:p>
        </w:tc>
        <w:tc>
          <w:tcPr>
            <w:tcW w:w="1136" w:type="dxa"/>
            <w:tcBorders>
              <w:top w:val="single" w:sz="4" w:color="000000"/>
              <w:left w:val="single" w:sz="4" w:color="000000"/>
              <w:bottom w:val="single" w:sz="4" w:color="000000"/>
              <w:right w:val="single" w:sz="4" w:color="000000"/>
            </w:tcBorders>
            <w:vAlign w:val="center"/>
          </w:tcPr>
          <w:p>
            <w:pPr>
              <w:spacing w:before="0" w:after="0" w:line="259" w:lineRule="auto"/>
              <w:ind w:left="0" w:right="61" w:firstLine="0"/>
              <w:jc w:val="right"/>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center"/>
          </w:tcPr>
          <w:p>
            <w:pPr>
              <w:spacing w:before="0" w:after="0" w:line="259" w:lineRule="auto"/>
              <w:ind w:left="1" w:firstLine="0"/>
              <w:jc w:val="left"/>
            </w:pPr>
            <w:r>
              <w:rPr>
                <w:rFonts w:cs="Arial" w:hAnsi="Arial" w:eastAsia="Arial" w:ascii="Arial"/>
                <w:sz w:val="16"/>
              </w:rPr>
              <w:t xml:space="preserve"> </w:t>
            </w:r>
          </w:p>
        </w:tc>
        <w:tc>
          <w:tcPr>
            <w:tcW w:w="882" w:type="dxa"/>
            <w:tcBorders>
              <w:top w:val="single" w:sz="4" w:color="000000"/>
              <w:left w:val="single" w:sz="4" w:color="000000"/>
              <w:bottom w:val="single" w:sz="4" w:color="000000"/>
              <w:right w:val="single" w:sz="4" w:color="000000"/>
            </w:tcBorders>
            <w:vAlign w:val="center"/>
          </w:tcPr>
          <w:p>
            <w:pPr>
              <w:spacing w:before="0" w:after="0" w:line="259" w:lineRule="auto"/>
              <w:ind w:left="0" w:right="21" w:firstLine="0"/>
              <w:jc w:val="center"/>
            </w:pPr>
            <w:r>
              <w:rPr>
                <w:rFonts w:cs="Arial" w:hAnsi="Arial" w:eastAsia="Arial" w:ascii="Arial"/>
                <w:sz w:val="16"/>
              </w:rPr>
              <w:t xml:space="preserve"> </w:t>
            </w:r>
          </w:p>
        </w:tc>
      </w:tr>
      <w:tr>
        <w:trPr>
          <w:trHeight w:val="21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1.4</w:t>
            </w:r>
            <w:r>
              <w:rPr>
                <w:rFonts w:cs="Arial" w:hAnsi="Arial" w:eastAsia="Arial" w:ascii="Arial"/>
                <w:sz w:val="18"/>
              </w:rPr>
              <w:t xml:space="preserve"> </w:t>
            </w:r>
            <w:r>
              <w:rPr>
                <w:sz w:val="18"/>
              </w:rPr>
              <w:t xml:space="preserve">Appui à la préparation de RIO+20</w:t>
            </w:r>
            <w:r>
              <w:rPr>
                <w:sz w:val="18"/>
              </w:rPr>
              <w:t xml:space="preserve"> </w:t>
            </w:r>
          </w:p>
        </w:tc>
        <w:tc>
          <w:tcPr>
            <w:tcW w:w="138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136" w:type="dxa"/>
            <w:tcBorders>
              <w:top w:val="single" w:sz="4" w:color="000000"/>
              <w:left w:val="single" w:sz="4" w:color="000000"/>
              <w:bottom w:val="single" w:sz="4" w:color="000000"/>
              <w:right w:val="single" w:sz="4" w:color="000000"/>
            </w:tcBorders>
            <w:vAlign w:val="top"/>
          </w:tcPr>
          <w:p>
            <w:pPr>
              <w:spacing w:before="0" w:after="0" w:line="259" w:lineRule="auto"/>
              <w:ind w:left="0" w:right="61" w:firstLine="0"/>
              <w:jc w:val="right"/>
            </w:pPr>
            <w:r>
              <w:rPr>
                <w:rFonts w:cs="Arial" w:hAnsi="Arial" w:eastAsia="Arial" w:ascii="Arial"/>
                <w:sz w:val="16"/>
              </w:rPr>
              <w:t xml:space="preserve"> </w:t>
            </w:r>
            <w:r>
              <w:rPr>
                <w:rFonts w:cs="Arial" w:hAnsi="Arial" w:eastAsia="Arial" w:ascii="Arial"/>
                <w:sz w:val="16"/>
              </w:rPr>
              <w:t xml:space="preserve">PM</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0" w:right="25" w:firstLine="0"/>
              <w:jc w:val="center"/>
            </w:pPr>
            <w:r>
              <w:rPr>
                <w:rFonts w:cs="Arial" w:hAnsi="Arial" w:eastAsia="Arial" w:ascii="Arial"/>
                <w:sz w:val="16"/>
              </w:rPr>
              <w:t xml:space="preserve"> </w:t>
            </w:r>
          </w:p>
        </w:tc>
        <w:tc>
          <w:tcPr>
            <w:tcW w:w="882" w:type="dxa"/>
            <w:tcBorders>
              <w:top w:val="single" w:sz="4" w:color="000000"/>
              <w:left w:val="single" w:sz="4" w:color="000000"/>
              <w:bottom w:val="single" w:sz="4" w:color="000000"/>
              <w:right w:val="single" w:sz="4" w:color="000000"/>
            </w:tcBorders>
            <w:vAlign w:val="top"/>
          </w:tcPr>
          <w:p>
            <w:pPr>
              <w:spacing w:before="0" w:after="0" w:line="259" w:lineRule="auto"/>
              <w:ind w:left="0" w:right="21" w:firstLine="0"/>
              <w:jc w:val="center"/>
            </w:pPr>
            <w:r>
              <w:rPr>
                <w:rFonts w:cs="Arial" w:hAnsi="Arial" w:eastAsia="Arial" w:ascii="Arial"/>
                <w:sz w:val="16"/>
              </w:rPr>
              <w:t xml:space="preserve"> </w:t>
            </w:r>
          </w:p>
        </w:tc>
      </w:tr>
    </w:tbl>
    <w:p>
      <w:pPr>
        <w:sectPr>
          <w:headerReference w:type="even" r:id="rId23"/>
          <w:headerReference w:type="default" r:id="rId21"/>
          <w:headerReference w:type="first" r:id="rId19"/>
          <w:footerReference w:type="even" r:id="rId24"/>
          <w:footerReference w:type="default" r:id="rId22"/>
          <w:footerReference w:type="first" r:id="rId20"/>
          <w:pgSz w:w="16838" w:h="11906" w:orient="landscape"/>
          <w:pgMar w:footer="714" w:left="1440" w:top="1163" w:right="1760" w:bottom="989"/>
          <w:pgNumType w:fmt="decimal"/>
          <w:cols/>
          <w:titlePg/>
        </w:sectPr>
      </w:pPr>
    </w:p>
    <w:p>
      <w:pPr>
        <w:spacing w:before="0" w:after="0" w:line="259" w:lineRule="auto"/>
        <w:ind w:left="-1440" w:right="12297" w:firstLine="0"/>
        <w:jc w:val="left"/>
      </w:pPr>
    </w:p>
    <w:tbl>
      <w:tblPr>
        <w:tblStyle w:val="TableGrid"/>
        <w:tblW w:w="15026" w:type="dxa"/>
        <w:tblInd w:w="-533" w:type="dxa"/>
        <w:tblCellMar>
          <w:top w:w="6" w:type="dxa"/>
          <w:left w:w="100" w:type="dxa"/>
          <w:bottom w:w="0" w:type="dxa"/>
          <w:right w:w="74" w:type="dxa"/>
        </w:tblCellMar>
      </w:tblPr>
      <w:tblGrid>
        <w:gridCol w:w="2285"/>
        <w:gridCol w:w="2776"/>
        <w:gridCol w:w="1852"/>
        <w:gridCol w:w="3720"/>
        <w:gridCol w:w="1381"/>
        <w:gridCol w:w="1137"/>
        <w:gridCol w:w="991"/>
        <w:gridCol w:w="883"/>
      </w:tblGrid>
      <w:tr>
        <w:trPr>
          <w:trHeight w:val="6084" w:hRule="atLeast"/>
        </w:trPr>
        <w:tc>
          <w:tcPr>
            <w:tcW w:w="2285"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i w:val="1"/>
              </w:rPr>
              <w:t xml:space="preserve">de développement</w:t>
            </w:r>
            <w:r>
              <w:rPr>
                <w:rFonts w:cs="Times New Roman" w:hAnsi="Times New Roman" w:eastAsia="Times New Roman" w:ascii="Times New Roman"/>
                <w:b w:val="1"/>
                <w:sz w:val="18"/>
              </w:rPr>
              <w:t xml:space="preserve"> </w:t>
            </w:r>
          </w:p>
        </w:tc>
        <w:tc>
          <w:tcPr>
            <w:tcW w:w="277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i w:val="1"/>
                <w:sz w:val="20"/>
              </w:rPr>
              <w:t xml:space="preserve">développement</w:t>
            </w:r>
            <w:r>
              <w:rPr>
                <w:rFonts w:cs="Times New Roman" w:hAnsi="Times New Roman" w:eastAsia="Times New Roman" w:ascii="Times New Roman"/>
                <w:i w:val="1"/>
              </w:rPr>
              <w:t xml:space="preserve"> </w:t>
            </w:r>
          </w:p>
          <w:p>
            <w:pPr>
              <w:spacing w:before="0" w:after="0" w:line="259" w:lineRule="auto"/>
              <w:ind w:left="1" w:firstLine="0"/>
              <w:jc w:val="left"/>
            </w:pPr>
            <w:r>
              <w:rPr>
                <w:rFonts w:cs="Times New Roman" w:hAnsi="Times New Roman" w:eastAsia="Times New Roman" w:ascii="Times New Roman"/>
                <w:i w:val="1"/>
              </w:rPr>
              <w:t xml:space="preserve"> </w:t>
            </w:r>
          </w:p>
          <w:p>
            <w:pPr>
              <w:spacing w:before="0" w:after="0" w:line="250" w:lineRule="auto"/>
              <w:ind w:left="1" w:right="91" w:firstLine="0"/>
              <w:jc w:val="left"/>
            </w:pPr>
            <w:r>
              <w:rPr>
                <w:rFonts w:cs="Times New Roman" w:hAnsi="Times New Roman" w:eastAsia="Times New Roman" w:ascii="Times New Roman"/>
                <w:b w:val="1"/>
                <w:sz w:val="18"/>
              </w:rPr>
              <w:t xml:space="preserve">Ind.1</w:t>
            </w:r>
            <w:r>
              <w:rPr>
                <w:sz w:val="18"/>
              </w:rPr>
              <w:t xml:space="preserve"> </w:t>
            </w:r>
            <w:r>
              <w:rPr>
                <w:sz w:val="18"/>
              </w:rPr>
              <w:t xml:space="preserve">:  Nombre de secteurs piliers de la croissance qui disposent d‟indicateurs de durabilité pertinents</w:t>
            </w:r>
            <w:r>
              <w:rPr>
                <w:sz w:val="18"/>
              </w:rPr>
              <w:t xml:space="preserve"> </w:t>
            </w:r>
            <w:r>
              <w:rPr>
                <w:rFonts w:cs="Times New Roman" w:hAnsi="Times New Roman" w:eastAsia="Times New Roman" w:ascii="Times New Roman"/>
                <w:b w:val="1"/>
                <w:sz w:val="18"/>
              </w:rPr>
              <w:t xml:space="preserve">Baseline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aucun des secteurs concernés</w:t>
            </w:r>
            <w:r>
              <w:rPr>
                <w:sz w:val="18"/>
              </w:rPr>
              <w:t xml:space="preserve"> </w:t>
            </w:r>
            <w:r>
              <w:rPr>
                <w:sz w:val="18"/>
              </w:rPr>
              <w:t xml:space="preserve">ne dispose d‟une matrice d‟indicateurs de la durabilité</w:t>
            </w:r>
            <w:r>
              <w:rPr>
                <w:rFonts w:cs="Times New Roman" w:hAnsi="Times New Roman" w:eastAsia="Times New Roman" w:ascii="Times New Roman"/>
                <w:b w:val="1"/>
                <w:sz w:val="18"/>
              </w:rPr>
              <w:t xml:space="preserve"> </w:t>
            </w:r>
            <w:r>
              <w:rPr>
                <w:sz w:val="18"/>
              </w:rPr>
              <w:t xml:space="preserve"> </w:t>
            </w:r>
            <w:r>
              <w:rPr>
                <w:rFonts w:cs="Times New Roman" w:hAnsi="Times New Roman" w:eastAsia="Times New Roman" w:ascii="Times New Roman"/>
                <w:b w:val="1"/>
                <w:sz w:val="18"/>
              </w:rPr>
              <w:t xml:space="preserve">Cible: </w:t>
            </w:r>
            <w:r>
              <w:rPr>
                <w:sz w:val="18"/>
              </w:rPr>
              <w:t xml:space="preserve">PNSR, secteur minier, minier et d‟infrastructures disposent de matrices d‟indicateurs de durabilité utilisés</w:t>
            </w:r>
            <w:r>
              <w:rPr>
                <w:sz w:val="18"/>
              </w:rPr>
              <w:t xml:space="preserve"> </w:t>
            </w:r>
          </w:p>
          <w:p>
            <w:pPr>
              <w:spacing w:before="0" w:after="11" w:line="259" w:lineRule="auto"/>
              <w:ind w:left="1" w:firstLine="0"/>
              <w:jc w:val="left"/>
            </w:pPr>
            <w:r>
              <w:rPr>
                <w:sz w:val="18"/>
              </w:rPr>
              <w:t xml:space="preserve"> </w:t>
            </w:r>
          </w:p>
          <w:p>
            <w:pPr>
              <w:spacing w:before="0" w:after="2" w:line="238" w:lineRule="auto"/>
              <w:ind w:left="1" w:firstLine="0"/>
              <w:jc w:val="left"/>
            </w:pPr>
            <w:r>
              <w:rPr>
                <w:rFonts w:cs="Times New Roman" w:hAnsi="Times New Roman" w:eastAsia="Times New Roman" w:ascii="Times New Roman"/>
                <w:b w:val="1"/>
                <w:sz w:val="18"/>
              </w:rPr>
              <w:t xml:space="preserve">Ind </w:t>
            </w:r>
            <w:r>
              <w:rPr>
                <w:rFonts w:cs="Times New Roman" w:hAnsi="Times New Roman" w:eastAsia="Times New Roman" w:ascii="Times New Roman"/>
                <w:b w:val="1"/>
                <w:sz w:val="18"/>
              </w:rPr>
              <w:t xml:space="preserve">2</w:t>
            </w:r>
            <w:r>
              <w:rPr>
                <w:sz w:val="18"/>
              </w:rPr>
              <w:t xml:space="preserve"> </w:t>
            </w:r>
            <w:r>
              <w:rPr>
                <w:sz w:val="18"/>
              </w:rPr>
              <w:t xml:space="preserve">: Existence d‟un cadre réglementaire qui consacre le transfert de la gestion des RN aux collectivités</w:t>
            </w:r>
            <w:r>
              <w:rPr>
                <w:sz w:val="18"/>
              </w:rPr>
              <w:t xml:space="preserve"> </w:t>
            </w:r>
          </w:p>
          <w:p>
            <w:pPr>
              <w:spacing w:before="0" w:after="2" w:line="238" w:lineRule="auto"/>
              <w:ind w:left="1" w:right="26" w:firstLine="0"/>
              <w:jc w:val="left"/>
            </w:pPr>
            <w:r>
              <w:rPr>
                <w:rFonts w:cs="Times New Roman" w:hAnsi="Times New Roman" w:eastAsia="Times New Roman" w:ascii="Times New Roman"/>
                <w:b w:val="1"/>
                <w:sz w:val="18"/>
              </w:rPr>
              <w:t xml:space="preserve">Baseline: </w:t>
            </w:r>
            <w:r>
              <w:rPr>
                <w:sz w:val="18"/>
              </w:rPr>
              <w:t xml:space="preserve">la GRN ne figure pas dans les compétences transférées aux CT</w:t>
            </w:r>
            <w:r>
              <w:rPr>
                <w:sz w:val="18"/>
              </w:rPr>
              <w:t xml:space="preserve"> </w:t>
            </w:r>
            <w:r>
              <w:rPr>
                <w:sz w:val="18"/>
              </w:rPr>
              <w:t xml:space="preserve">à ce jour</w:t>
            </w:r>
            <w:r>
              <w:rPr>
                <w:sz w:val="18"/>
              </w:rPr>
              <w:t xml:space="preserve">. </w:t>
            </w:r>
            <w:r>
              <w:rPr>
                <w:rFonts w:cs="Times New Roman" w:hAnsi="Times New Roman" w:eastAsia="Times New Roman" w:ascii="Times New Roman"/>
                <w:b w:val="1"/>
                <w:sz w:val="18"/>
              </w:rPr>
              <w:t xml:space="preserve">Cible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Tous les textes disponibles</w:t>
            </w:r>
            <w:r>
              <w:rPr>
                <w:sz w:val="18"/>
              </w:rPr>
              <w:t xml:space="preserve"> </w:t>
            </w:r>
          </w:p>
          <w:p>
            <w:pPr>
              <w:spacing w:before="0" w:after="8" w:line="259" w:lineRule="auto"/>
              <w:ind w:left="1" w:firstLine="0"/>
              <w:jc w:val="left"/>
            </w:pPr>
            <w:r>
              <w:rPr>
                <w:sz w:val="18"/>
              </w:rPr>
              <w:t xml:space="preserve"> </w:t>
            </w:r>
          </w:p>
          <w:p>
            <w:pPr>
              <w:spacing w:before="0" w:after="0" w:line="257" w:lineRule="auto"/>
              <w:ind w:left="1" w:firstLine="0"/>
              <w:jc w:val="left"/>
            </w:pPr>
            <w:r>
              <w:rPr>
                <w:rFonts w:cs="Times New Roman" w:hAnsi="Times New Roman" w:eastAsia="Times New Roman" w:ascii="Times New Roman"/>
                <w:b w:val="1"/>
                <w:sz w:val="18"/>
              </w:rPr>
              <w:t xml:space="preserve">Ind</w:t>
            </w:r>
            <w:r>
              <w:rPr>
                <w:rFonts w:cs="Times New Roman" w:hAnsi="Times New Roman" w:eastAsia="Times New Roman" w:ascii="Times New Roman"/>
                <w:b w:val="1"/>
                <w:sz w:val="18"/>
              </w:rPr>
              <w:t xml:space="preserve">3</w:t>
            </w:r>
            <w:r>
              <w:rPr>
                <w:sz w:val="18"/>
              </w:rPr>
              <w:t xml:space="preserve"> </w:t>
            </w:r>
            <w:r>
              <w:rPr>
                <w:sz w:val="18"/>
              </w:rPr>
              <w:t xml:space="preserve">: </w:t>
            </w:r>
            <w:r>
              <w:rPr>
                <w:sz w:val="18"/>
              </w:rPr>
              <w:t xml:space="preserve">existence d‟un cadre d‟orientation pour les mesures d‟atténuation</w:t>
            </w:r>
            <w:r>
              <w:rPr>
                <w:rFonts w:cs="Times New Roman" w:hAnsi="Times New Roman" w:eastAsia="Times New Roman" w:ascii="Times New Roman"/>
                <w:b w:val="1"/>
                <w:sz w:val="18"/>
              </w:rPr>
              <w:t xml:space="preserve"> </w:t>
            </w:r>
          </w:p>
          <w:p>
            <w:pPr>
              <w:spacing w:before="0" w:after="0" w:line="238" w:lineRule="auto"/>
              <w:ind w:left="1" w:right="20" w:firstLine="0"/>
              <w:jc w:val="left"/>
            </w:pPr>
            <w:r>
              <w:rPr>
                <w:rFonts w:cs="Times New Roman" w:hAnsi="Times New Roman" w:eastAsia="Times New Roman" w:ascii="Times New Roman"/>
                <w:b w:val="1"/>
                <w:sz w:val="18"/>
              </w:rPr>
              <w:t xml:space="preserve">Baseline: </w:t>
            </w:r>
            <w:r>
              <w:rPr>
                <w:sz w:val="18"/>
              </w:rPr>
              <w:t xml:space="preserve">le cadre actuel concerne les projets MDP</w:t>
            </w:r>
            <w:r>
              <w:rPr>
                <w:sz w:val="18"/>
              </w:rPr>
              <w:t xml:space="preserve">. </w:t>
            </w:r>
            <w:r>
              <w:rPr>
                <w:rFonts w:cs="Times New Roman" w:hAnsi="Times New Roman" w:eastAsia="Times New Roman" w:ascii="Times New Roman"/>
                <w:b w:val="1"/>
                <w:sz w:val="18"/>
              </w:rPr>
              <w:t xml:space="preserve">Cible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Un cadre de </w:t>
            </w:r>
          </w:p>
          <w:p>
            <w:pPr>
              <w:spacing w:before="0" w:after="0" w:line="259" w:lineRule="auto"/>
              <w:ind w:left="1" w:firstLine="0"/>
              <w:jc w:val="left"/>
            </w:pPr>
            <w:r>
              <w:rPr>
                <w:sz w:val="18"/>
              </w:rPr>
              <w:t xml:space="preserve">promotion des NAMA est opérationnel</w:t>
            </w:r>
            <w:r>
              <w:rPr>
                <w:sz w:val="18"/>
              </w:rPr>
              <w:t xml:space="preserve"> </w:t>
            </w:r>
          </w:p>
        </w:tc>
        <w:tc>
          <w:tcPr>
            <w:tcW w:w="185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1.5</w:t>
            </w:r>
            <w:r>
              <w:rPr>
                <w:rFonts w:cs="Arial" w:hAnsi="Arial" w:eastAsia="Arial" w:ascii="Arial"/>
                <w:sz w:val="18"/>
              </w:rPr>
              <w:t xml:space="preserve"> </w:t>
            </w:r>
            <w:r>
              <w:rPr>
                <w:sz w:val="18"/>
              </w:rPr>
              <w:t xml:space="preserve">Appui à la concertation entre institutions d‟appui (+fonds d‟études)</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sz w:val="18"/>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r>
      <w:tr>
        <w:trPr>
          <w:trHeight w:val="37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7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i w:val="1"/>
                <w:sz w:val="20"/>
              </w:rPr>
              <w:t xml:space="preserve">Total Produit 1</w:t>
            </w:r>
            <w:r>
              <w:rPr>
                <w:rFonts w:cs="Times New Roman" w:hAnsi="Times New Roman" w:eastAsia="Times New Roman" w:ascii="Times New Roman"/>
                <w:b w:val="1"/>
                <w:i w:val="1"/>
                <w:sz w:val="20"/>
              </w:rPr>
              <w:t xml:space="preserve"> </w:t>
            </w:r>
          </w:p>
        </w:tc>
        <w:tc>
          <w:tcPr>
            <w:tcW w:w="6953" w:type="dxa"/>
            <w:gridSpan w:val="3"/>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left"/>
            </w:pPr>
            <w:r>
              <w:rPr>
                <w:sz w:val="18"/>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b w:val="1"/>
                <w:sz w:val="16"/>
              </w:rPr>
              <w:t xml:space="preserve">620 000</w:t>
            </w:r>
            <w:r>
              <w:rPr>
                <w:rFonts w:cs="Arial" w:hAnsi="Arial" w:eastAsia="Arial" w:ascii="Arial"/>
                <w:b w:val="1"/>
                <w:sz w:val="16"/>
              </w:rPr>
              <w:t xml:space="preserve"> </w:t>
            </w:r>
          </w:p>
          <w:p>
            <w:pPr>
              <w:spacing w:before="0" w:after="0" w:line="259" w:lineRule="auto"/>
              <w:ind w:left="0" w:firstLine="0"/>
              <w:jc w:val="right"/>
            </w:pPr>
            <w:r>
              <w:rPr>
                <w:rFonts w:cs="Arial" w:hAnsi="Arial" w:eastAsia="Arial" w:ascii="Arial"/>
                <w:b w:val="1"/>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4" w:firstLine="0"/>
              <w:jc w:val="center"/>
            </w:pPr>
            <w:r>
              <w:rPr>
                <w:rFonts w:cs="Arial" w:hAnsi="Arial" w:eastAsia="Arial" w:ascii="Arial"/>
                <w:sz w:val="16"/>
              </w:rPr>
              <w:t xml:space="preserve"> </w:t>
            </w:r>
          </w:p>
        </w:tc>
      </w:tr>
      <w:tr>
        <w:trPr>
          <w:trHeight w:val="42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77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i w:val="1"/>
                <w:sz w:val="20"/>
              </w:rPr>
              <w:t xml:space="preserve"> </w:t>
            </w:r>
          </w:p>
          <w:p>
            <w:pPr>
              <w:spacing w:before="0" w:after="0" w:line="239" w:lineRule="auto"/>
              <w:ind w:left="1" w:firstLine="0"/>
              <w:jc w:val="left"/>
            </w:pPr>
            <w:r>
              <w:rPr>
                <w:rFonts w:cs="Times New Roman" w:hAnsi="Times New Roman" w:eastAsia="Times New Roman" w:ascii="Times New Roman"/>
                <w:b w:val="1"/>
                <w:i w:val="1"/>
                <w:sz w:val="20"/>
              </w:rPr>
              <w:t xml:space="preserve">Produit 2. du projet</w:t>
            </w:r>
            <w:r>
              <w:rPr>
                <w:rFonts w:cs="Times New Roman" w:hAnsi="Times New Roman" w:eastAsia="Times New Roman" w:ascii="Times New Roman"/>
                <w:i w:val="1"/>
                <w:sz w:val="20"/>
              </w:rPr>
              <w:t xml:space="preserve">: Les informations pertinentes sur l’état de l’environnement sont disponibles et permettent d’assurer le suivi de la mise en œuvre des politiques environnementales au niveau </w:t>
            </w:r>
          </w:p>
          <w:p>
            <w:pPr>
              <w:spacing w:before="0" w:after="0" w:line="259" w:lineRule="auto"/>
              <w:ind w:left="1" w:firstLine="0"/>
              <w:jc w:val="left"/>
            </w:pPr>
            <w:r>
              <w:rPr>
                <w:rFonts w:cs="Times New Roman" w:hAnsi="Times New Roman" w:eastAsia="Times New Roman" w:ascii="Times New Roman"/>
                <w:i w:val="1"/>
                <w:sz w:val="20"/>
              </w:rPr>
              <w:t xml:space="preserve">décentralisé</w:t>
            </w:r>
            <w:r>
              <w:rPr>
                <w:rFonts w:cs="Times New Roman" w:hAnsi="Times New Roman" w:eastAsia="Times New Roman" w:ascii="Times New Roman"/>
                <w:i w:val="1"/>
                <w:sz w:val="20"/>
              </w:rPr>
              <w:t xml:space="preserve"> </w:t>
            </w:r>
          </w:p>
          <w:p>
            <w:pPr>
              <w:spacing w:before="0" w:after="0" w:line="259" w:lineRule="auto"/>
              <w:ind w:left="1" w:firstLine="0"/>
              <w:jc w:val="left"/>
            </w:pPr>
            <w:r>
              <w:rPr>
                <w:rFonts w:cs="Times New Roman" w:hAnsi="Times New Roman" w:eastAsia="Times New Roman" w:ascii="Times New Roman"/>
                <w:i w:val="1"/>
                <w:sz w:val="20"/>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Ind.1</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proportion des indicateurs </w:t>
            </w:r>
          </w:p>
        </w:tc>
        <w:tc>
          <w:tcPr>
            <w:tcW w:w="1852"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r>
              <w:rPr>
                <w:sz w:val="18"/>
              </w:rPr>
              <w:t xml:space="preserve"> </w:t>
            </w:r>
          </w:p>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r>
              <w:rPr>
                <w:sz w:val="18"/>
              </w:rPr>
              <w:t xml:space="preserve"> </w:t>
            </w: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1.6</w:t>
            </w:r>
            <w:r>
              <w:rPr>
                <w:rFonts w:cs="Arial" w:hAnsi="Arial" w:eastAsia="Arial" w:ascii="Arial"/>
                <w:sz w:val="18"/>
              </w:rPr>
              <w:t xml:space="preserve"> </w:t>
            </w:r>
            <w:r>
              <w:rPr>
                <w:sz w:val="18"/>
              </w:rPr>
              <w:t xml:space="preserve">Appui à la mise en place et fonctionnement de l‟observatoire national</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DCIME</w:t>
            </w:r>
            <w:r>
              <w:rPr>
                <w:sz w:val="18"/>
              </w:rPr>
              <w:t xml:space="preserve"> </w:t>
            </w:r>
          </w:p>
        </w:tc>
        <w:tc>
          <w:tcPr>
            <w:tcW w:w="1137" w:type="dxa"/>
            <w:tcBorders>
              <w:top w:val="single" w:sz="4" w:color="000000"/>
              <w:left w:val="single" w:sz="4" w:color="000000"/>
              <w:bottom w:val="single" w:sz="4" w:color="000000"/>
              <w:right w:val="single" w:sz="4" w:color="000000"/>
            </w:tcBorders>
            <w:vAlign w:val="center"/>
          </w:tcPr>
          <w:p>
            <w:pPr>
              <w:spacing w:before="0" w:after="0" w:line="259" w:lineRule="auto"/>
              <w:ind w:left="0" w:right="35" w:firstLine="0"/>
              <w:jc w:val="right"/>
            </w:pPr>
            <w:r>
              <w:rPr>
                <w:rFonts w:cs="Arial" w:hAnsi="Arial" w:eastAsia="Arial" w:ascii="Arial"/>
                <w:sz w:val="16"/>
              </w:rPr>
              <w:t xml:space="preserve">150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center"/>
          </w:tcPr>
          <w:p>
            <w:pPr>
              <w:spacing w:before="0" w:after="0" w:line="259" w:lineRule="auto"/>
              <w:ind w:left="1" w:firstLine="0"/>
              <w:jc w:val="center"/>
            </w:pP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4" w:firstLine="0"/>
              <w:jc w:val="center"/>
            </w:pPr>
            <w:r>
              <w:rPr>
                <w:rFonts w:cs="Arial" w:hAnsi="Arial" w:eastAsia="Arial" w:ascii="Arial"/>
                <w:sz w:val="16"/>
              </w:rPr>
              <w:t xml:space="preserve"> </w:t>
            </w:r>
          </w:p>
        </w:tc>
      </w:tr>
      <w:tr>
        <w:trPr>
          <w:trHeight w:val="42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1.7</w:t>
            </w:r>
            <w:r>
              <w:rPr>
                <w:rFonts w:cs="Arial" w:hAnsi="Arial" w:eastAsia="Arial" w:ascii="Arial"/>
                <w:sz w:val="18"/>
              </w:rPr>
              <w:t xml:space="preserve"> </w:t>
            </w:r>
            <w:r>
              <w:rPr>
                <w:sz w:val="18"/>
              </w:rPr>
              <w:t xml:space="preserve">Appui à la mise en place des bases de données environnementales (DES/DGCN)</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DGCN</w:t>
            </w:r>
            <w:r>
              <w:rPr>
                <w:sz w:val="18"/>
              </w:rPr>
              <w:t xml:space="preserve"> </w:t>
            </w:r>
          </w:p>
        </w:tc>
        <w:tc>
          <w:tcPr>
            <w:tcW w:w="1137" w:type="dxa"/>
            <w:tcBorders>
              <w:top w:val="single" w:sz="4" w:color="000000"/>
              <w:left w:val="single" w:sz="4" w:color="000000"/>
              <w:bottom w:val="single" w:sz="4" w:color="000000"/>
              <w:right w:val="single" w:sz="4" w:color="000000"/>
            </w:tcBorders>
            <w:vAlign w:val="center"/>
          </w:tcPr>
          <w:p>
            <w:pPr>
              <w:spacing w:before="0" w:after="0" w:line="259" w:lineRule="auto"/>
              <w:ind w:left="0" w:right="35" w:firstLine="0"/>
              <w:jc w:val="right"/>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center"/>
          </w:tcPr>
          <w:p>
            <w:pPr>
              <w:spacing w:before="0" w:after="0" w:line="259" w:lineRule="auto"/>
              <w:ind w:left="1" w:firstLine="0"/>
              <w:jc w:val="center"/>
            </w:pP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4" w:firstLine="0"/>
              <w:jc w:val="center"/>
            </w:pPr>
            <w:r>
              <w:rPr>
                <w:rFonts w:cs="Arial" w:hAnsi="Arial" w:eastAsia="Arial" w:ascii="Arial"/>
                <w:sz w:val="16"/>
              </w:rPr>
              <w:t xml:space="preserve"> </w:t>
            </w:r>
          </w:p>
        </w:tc>
      </w:tr>
      <w:tr>
        <w:trPr>
          <w:trHeight w:val="217"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1.8</w:t>
            </w:r>
            <w:r>
              <w:rPr>
                <w:rFonts w:cs="Arial" w:hAnsi="Arial" w:eastAsia="Arial" w:ascii="Arial"/>
                <w:sz w:val="18"/>
              </w:rPr>
              <w:t xml:space="preserve"> </w:t>
            </w:r>
            <w:r>
              <w:rPr>
                <w:sz w:val="18"/>
              </w:rPr>
              <w:t xml:space="preserve"> </w:t>
            </w:r>
            <w:r>
              <w:rPr>
                <w:sz w:val="18"/>
              </w:rPr>
              <w:t xml:space="preserve">Appui à l‟élaboration périodique du REEB</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DCIME</w:t>
            </w:r>
            <w:r>
              <w:rPr>
                <w:sz w:val="18"/>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4" w:firstLine="0"/>
              <w:jc w:val="center"/>
            </w:pPr>
            <w:r>
              <w:rPr>
                <w:rFonts w:cs="Arial" w:hAnsi="Arial" w:eastAsia="Arial" w:ascii="Arial"/>
                <w:sz w:val="16"/>
              </w:rPr>
              <w:t xml:space="preserve"> </w:t>
            </w:r>
          </w:p>
        </w:tc>
      </w:tr>
      <w:tr>
        <w:trPr>
          <w:trHeight w:val="42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1.9</w:t>
            </w:r>
            <w:r>
              <w:rPr>
                <w:rFonts w:cs="Arial" w:hAnsi="Arial" w:eastAsia="Arial" w:ascii="Arial"/>
                <w:sz w:val="18"/>
              </w:rPr>
              <w:t xml:space="preserve"> </w:t>
            </w:r>
            <w:r>
              <w:rPr>
                <w:sz w:val="18"/>
              </w:rPr>
              <w:t xml:space="preserve">Elaboration des Communications Nationales  DB et CC</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18"/>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sz w:val="16"/>
              </w:rPr>
              <w:t xml:space="preserve">60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4" w:firstLine="0"/>
              <w:jc w:val="center"/>
            </w:pPr>
            <w:r>
              <w:rPr>
                <w:rFonts w:cs="Arial" w:hAnsi="Arial" w:eastAsia="Arial" w:ascii="Arial"/>
                <w:sz w:val="16"/>
              </w:rPr>
              <w:t xml:space="preserve"> </w:t>
            </w:r>
          </w:p>
        </w:tc>
      </w:tr>
      <w:tr>
        <w:trPr>
          <w:trHeight w:val="42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1.10</w:t>
            </w:r>
            <w:r>
              <w:rPr>
                <w:rFonts w:cs="Arial" w:hAnsi="Arial" w:eastAsia="Arial" w:ascii="Arial"/>
                <w:sz w:val="18"/>
              </w:rPr>
              <w:t xml:space="preserve"> </w:t>
            </w:r>
            <w:r>
              <w:rPr>
                <w:sz w:val="18"/>
              </w:rPr>
              <w:t xml:space="preserve">Appui à la mise en place de systèmes d‟alerte précoces</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DN/METEO</w:t>
            </w:r>
            <w:r>
              <w:rPr>
                <w:sz w:val="18"/>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sz w:val="16"/>
              </w:rPr>
              <w:t xml:space="preserve">80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6"/>
              </w:rPr>
              <w:t xml:space="preserve">A rechercher</w:t>
            </w:r>
            <w:r>
              <w:rPr>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32" w:firstLine="0"/>
              <w:jc w:val="center"/>
            </w:pPr>
            <w:r>
              <w:rPr>
                <w:rFonts w:cs="Arial" w:hAnsi="Arial" w:eastAsia="Arial" w:ascii="Arial"/>
                <w:sz w:val="16"/>
              </w:rPr>
              <w:t xml:space="preserve">600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605"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1.11</w:t>
            </w:r>
            <w:r>
              <w:rPr>
                <w:rFonts w:cs="Arial" w:hAnsi="Arial" w:eastAsia="Arial" w:ascii="Arial"/>
                <w:sz w:val="18"/>
              </w:rPr>
              <w:t xml:space="preserve"> </w:t>
            </w:r>
            <w:r>
              <w:rPr>
                <w:sz w:val="18"/>
              </w:rPr>
              <w:t xml:space="preserve">Evaluation stratégiques rétrospectives environnementales</w:t>
            </w:r>
            <w:r>
              <w:rPr>
                <w:sz w:val="18"/>
              </w:rPr>
              <w:t xml:space="preserve"> </w:t>
            </w:r>
          </w:p>
        </w:tc>
        <w:tc>
          <w:tcPr>
            <w:tcW w:w="138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18"/>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sz w:val="16"/>
              </w:rPr>
              <w:t xml:space="preserve">90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6"/>
              </w:rPr>
              <w:t xml:space="preserve">A rechercher</w:t>
            </w:r>
            <w:r>
              <w:rPr>
                <w:sz w:val="18"/>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32" w:firstLine="0"/>
              <w:jc w:val="center"/>
            </w:pPr>
            <w:r>
              <w:rPr>
                <w:rFonts w:cs="Arial" w:hAnsi="Arial" w:eastAsia="Arial" w:ascii="Arial"/>
                <w:sz w:val="16"/>
              </w:rPr>
              <w:t xml:space="preserve">100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bl>
    <w:tbl>
      <w:tblPr>
        <w:tblStyle w:val="TableGrid"/>
        <w:tblW w:w="15026" w:type="dxa"/>
        <w:tblInd w:w="-533" w:type="dxa"/>
        <w:tblCellMar>
          <w:top w:w="6" w:type="dxa"/>
          <w:left w:w="100" w:type="dxa"/>
          <w:bottom w:w="0" w:type="dxa"/>
          <w:right w:w="74" w:type="dxa"/>
        </w:tblCellMar>
      </w:tblPr>
      <w:tblGrid>
        <w:gridCol w:w="2285"/>
        <w:gridCol w:w="2776"/>
        <w:gridCol w:w="1852"/>
        <w:gridCol w:w="3720"/>
        <w:gridCol w:w="1381"/>
        <w:gridCol w:w="1137"/>
        <w:gridCol w:w="991"/>
        <w:gridCol w:w="883"/>
      </w:tblGrid>
      <w:tr>
        <w:trPr>
          <w:trHeight w:val="4980" w:hRule="atLeast"/>
        </w:trPr>
        <w:tc>
          <w:tcPr>
            <w:tcW w:w="2285"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776" w:type="dxa"/>
            <w:tcBorders>
              <w:top w:val="single" w:sz="4" w:color="000000"/>
              <w:left w:val="single" w:sz="4" w:color="000000"/>
              <w:bottom w:val="single" w:sz="4" w:color="000000"/>
              <w:right w:val="single" w:sz="4" w:color="000000"/>
            </w:tcBorders>
            <w:vAlign w:val="top"/>
          </w:tcPr>
          <w:p>
            <w:pPr>
              <w:spacing w:before="0" w:after="0" w:line="242" w:lineRule="auto"/>
              <w:ind w:left="17" w:firstLine="0"/>
              <w:jc w:val="left"/>
            </w:pPr>
            <w:r>
              <w:rPr>
                <w:sz w:val="18"/>
              </w:rPr>
              <w:t xml:space="preserve">de durabilité de la SCADD et des informations nécessaires pour le REEB régulièrement mis à jour</w:t>
            </w:r>
            <w:r>
              <w:rPr>
                <w:sz w:val="18"/>
              </w:rPr>
              <w:t xml:space="preserve"> </w:t>
            </w:r>
            <w:r>
              <w:rPr>
                <w:rFonts w:cs="Times New Roman" w:hAnsi="Times New Roman" w:eastAsia="Times New Roman" w:ascii="Times New Roman"/>
                <w:b w:val="1"/>
                <w:sz w:val="18"/>
              </w:rPr>
              <w:t xml:space="preserve">Baseline</w:t>
            </w:r>
            <w:r>
              <w:rPr>
                <w:sz w:val="18"/>
              </w:rPr>
              <w:t xml:space="preserve">: Pour le CSLP il n‟ya pas eu de suivi explicites d‟indicateurs de durabilité. </w:t>
            </w:r>
            <w:r>
              <w:rPr>
                <w:rFonts w:cs="Times New Roman" w:hAnsi="Times New Roman" w:eastAsia="Times New Roman" w:ascii="Times New Roman"/>
                <w:b w:val="1"/>
                <w:sz w:val="18"/>
              </w:rPr>
              <w:t xml:space="preserve">Cible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100% des indicateurs de durabilité retenus dans la matrice de suivi de la </w:t>
            </w:r>
          </w:p>
          <w:p>
            <w:pPr>
              <w:spacing w:before="0" w:after="0" w:line="259" w:lineRule="auto"/>
              <w:ind w:left="17" w:firstLine="0"/>
              <w:jc w:val="left"/>
            </w:pPr>
            <w:r>
              <w:rPr>
                <w:sz w:val="18"/>
              </w:rPr>
              <w:t xml:space="preserve">SCADD</w:t>
            </w:r>
            <w:r>
              <w:rPr>
                <w:sz w:val="18"/>
              </w:rPr>
              <w:t xml:space="preserve"> </w:t>
            </w:r>
          </w:p>
          <w:p>
            <w:pPr>
              <w:spacing w:before="0" w:after="0" w:line="259" w:lineRule="auto"/>
              <w:ind w:left="17" w:firstLine="0"/>
              <w:jc w:val="left"/>
            </w:pPr>
            <w:r>
              <w:rPr>
                <w:rFonts w:cs="Times New Roman" w:hAnsi="Times New Roman" w:eastAsia="Times New Roman" w:ascii="Times New Roman"/>
                <w:b w:val="1"/>
                <w:sz w:val="18"/>
              </w:rPr>
              <w:t xml:space="preserve"> </w:t>
            </w:r>
          </w:p>
          <w:p>
            <w:pPr>
              <w:spacing w:before="0" w:after="0" w:line="239" w:lineRule="auto"/>
              <w:ind w:left="17" w:right="22" w:firstLine="0"/>
              <w:jc w:val="left"/>
            </w:pPr>
            <w:r>
              <w:rPr>
                <w:rFonts w:cs="Times New Roman" w:hAnsi="Times New Roman" w:eastAsia="Times New Roman" w:ascii="Times New Roman"/>
                <w:b w:val="1"/>
                <w:sz w:val="18"/>
              </w:rPr>
              <w:t xml:space="preserve">Ind2</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Nombre de collectivités disposant d‟informations environnementales pertinentes pour</w:t>
            </w:r>
            <w:r>
              <w:rPr>
                <w:rFonts w:cs="Times New Roman" w:hAnsi="Times New Roman" w:eastAsia="Times New Roman" w:ascii="Times New Roman"/>
                <w:b w:val="1"/>
                <w:sz w:val="18"/>
              </w:rPr>
              <w:t xml:space="preserve"> </w:t>
            </w:r>
            <w:r>
              <w:rPr>
                <w:sz w:val="18"/>
              </w:rPr>
              <w:t xml:space="preserve">la planification et le suivi du </w:t>
            </w:r>
          </w:p>
          <w:p>
            <w:pPr>
              <w:spacing w:before="0" w:after="0" w:line="238" w:lineRule="auto"/>
              <w:ind w:left="17" w:right="322" w:firstLine="0"/>
              <w:jc w:val="left"/>
            </w:pPr>
            <w:r>
              <w:rPr>
                <w:sz w:val="18"/>
              </w:rPr>
              <w:t xml:space="preserve">développement local</w:t>
            </w:r>
            <w:r>
              <w:rPr>
                <w:sz w:val="18"/>
              </w:rPr>
              <w:t xml:space="preserve"> </w:t>
            </w:r>
            <w:r>
              <w:rPr>
                <w:rFonts w:cs="Times New Roman" w:hAnsi="Times New Roman" w:eastAsia="Times New Roman" w:ascii="Times New Roman"/>
                <w:b w:val="1"/>
                <w:sz w:val="18"/>
              </w:rPr>
              <w:t xml:space="preserve">Baseline</w:t>
            </w:r>
            <w:r>
              <w:rPr>
                <w:sz w:val="18"/>
              </w:rPr>
              <w:t xml:space="preserve"> </w:t>
            </w:r>
            <w:r>
              <w:rPr>
                <w:sz w:val="18"/>
              </w:rPr>
              <w:t xml:space="preserve">: les informations environnementales disponibles rarement désagrégées par commune. </w:t>
            </w:r>
            <w:r>
              <w:rPr>
                <w:rFonts w:cs="Times New Roman" w:hAnsi="Times New Roman" w:eastAsia="Times New Roman" w:ascii="Times New Roman"/>
                <w:b w:val="1"/>
                <w:sz w:val="18"/>
              </w:rPr>
              <w:t xml:space="preserve">Cible</w:t>
            </w:r>
            <w:r>
              <w:rPr>
                <w:sz w:val="18"/>
              </w:rPr>
              <w:t xml:space="preserve">:  Toutes les communes d‟interventions du projet disposent d‟informations environnementales désagrégées</w:t>
            </w:r>
            <w:r>
              <w:rPr>
                <w:sz w:val="18"/>
              </w:rPr>
              <w:t xml:space="preserve"> </w:t>
            </w:r>
          </w:p>
          <w:p>
            <w:pPr>
              <w:spacing w:before="0" w:after="0" w:line="259" w:lineRule="auto"/>
              <w:ind w:left="17" w:firstLine="0"/>
              <w:jc w:val="left"/>
            </w:pPr>
            <w:r>
              <w:rPr>
                <w:sz w:val="18"/>
              </w:rPr>
              <w:t xml:space="preserve"> </w:t>
            </w:r>
          </w:p>
          <w:p>
            <w:pPr>
              <w:spacing w:before="0" w:after="0" w:line="259" w:lineRule="auto"/>
              <w:ind w:left="17" w:firstLine="0"/>
              <w:jc w:val="left"/>
            </w:pPr>
            <w:r>
              <w:rPr>
                <w:rFonts w:cs="Times New Roman" w:hAnsi="Times New Roman" w:eastAsia="Times New Roman" w:ascii="Times New Roman"/>
                <w:b w:val="1"/>
                <w:sz w:val="18"/>
              </w:rPr>
              <w:t xml:space="preserve"> </w:t>
            </w:r>
          </w:p>
        </w:tc>
        <w:tc>
          <w:tcPr>
            <w:tcW w:w="185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72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8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3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99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88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59" w:hRule="atLeast"/>
        </w:trPr>
        <w:tc>
          <w:tcPr>
            <w:tcW w:w="2285" w:type="dxa"/>
            <w:tcBorders>
              <w:top w:val="single" w:sz="4" w:color="000000"/>
              <w:left w:val="single" w:sz="4" w:color="000000"/>
              <w:bottom w:val="single" w:sz="4" w:color="000000"/>
              <w:right w:val="single" w:sz="4" w:color="000000"/>
            </w:tcBorders>
            <w:vAlign w:val="top"/>
          </w:tcPr>
          <w:p>
            <w:pPr>
              <w:spacing w:before="0" w:after="0" w:line="259" w:lineRule="auto"/>
              <w:ind w:left="8" w:firstLine="0"/>
              <w:jc w:val="left"/>
            </w:pPr>
            <w:r>
              <w:rPr>
                <w:rFonts w:cs="Times New Roman" w:hAnsi="Times New Roman" w:eastAsia="Times New Roman" w:ascii="Times New Roman"/>
                <w:b w:val="1"/>
              </w:rPr>
              <w:t xml:space="preserve"> </w:t>
            </w:r>
          </w:p>
        </w:tc>
        <w:tc>
          <w:tcPr>
            <w:tcW w:w="277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rPr>
              <w:t xml:space="preserve">Total produit 2</w:t>
            </w:r>
            <w:r>
              <w:rPr>
                <w:rFonts w:cs="Times New Roman" w:hAnsi="Times New Roman" w:eastAsia="Times New Roman" w:ascii="Times New Roman"/>
                <w:b w:val="1"/>
              </w:rPr>
              <w:t xml:space="preserve"> </w:t>
            </w:r>
          </w:p>
        </w:tc>
        <w:tc>
          <w:tcPr>
            <w:tcW w:w="6953" w:type="dxa"/>
            <w:gridSpan w:val="3"/>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7" w:firstLine="0"/>
              <w:jc w:val="left"/>
            </w:pPr>
            <w:r>
              <w:rPr>
                <w:rFonts w:cs="Arial" w:hAnsi="Arial" w:eastAsia="Arial" w:ascii="Arial"/>
                <w:sz w:val="16"/>
              </w:rPr>
              <w:t xml:space="preserve"> </w:t>
            </w:r>
          </w:p>
        </w:tc>
        <w:tc>
          <w:tcPr>
            <w:tcW w:w="1137" w:type="dxa"/>
            <w:tcBorders>
              <w:top w:val="single" w:sz="4" w:color="000000"/>
              <w:left w:val="single" w:sz="4" w:color="000000"/>
              <w:bottom w:val="single" w:sz="4" w:color="000000"/>
              <w:right w:val="single" w:sz="4" w:color="000000"/>
            </w:tcBorders>
            <w:vAlign w:val="top"/>
          </w:tcPr>
          <w:p>
            <w:pPr>
              <w:spacing w:before="0" w:after="0" w:line="259" w:lineRule="auto"/>
              <w:ind w:left="0" w:right="35" w:firstLine="0"/>
              <w:jc w:val="right"/>
            </w:pPr>
            <w:r>
              <w:rPr>
                <w:rFonts w:cs="Arial" w:hAnsi="Arial" w:eastAsia="Arial" w:ascii="Arial"/>
                <w:b w:val="1"/>
                <w:sz w:val="16"/>
              </w:rPr>
              <w:t xml:space="preserve">480</w:t>
            </w:r>
            <w:r>
              <w:rPr>
                <w:rFonts w:cs="Arial" w:hAnsi="Arial" w:eastAsia="Arial" w:ascii="Arial"/>
                <w:b w:val="1"/>
                <w:sz w:val="16"/>
              </w:rPr>
              <w:t xml:space="preserve"> </w:t>
            </w:r>
            <w:r>
              <w:rPr>
                <w:rFonts w:cs="Arial" w:hAnsi="Arial" w:eastAsia="Arial" w:ascii="Arial"/>
                <w:b w:val="1"/>
                <w:sz w:val="16"/>
              </w:rPr>
              <w:t xml:space="preserve">000</w:t>
            </w:r>
            <w:r>
              <w:rPr>
                <w:rFonts w:cs="Arial" w:hAnsi="Arial" w:eastAsia="Arial" w:ascii="Arial"/>
                <w:b w:val="1"/>
                <w:sz w:val="16"/>
              </w:rPr>
              <w:t xml:space="preserve"> </w:t>
            </w:r>
          </w:p>
        </w:tc>
        <w:tc>
          <w:tcPr>
            <w:tcW w:w="991" w:type="dxa"/>
            <w:tcBorders>
              <w:top w:val="single" w:sz="4" w:color="000000"/>
              <w:left w:val="single" w:sz="4" w:color="000000"/>
              <w:bottom w:val="single" w:sz="4" w:color="000000"/>
              <w:right w:val="single" w:sz="4" w:color="000000"/>
            </w:tcBorders>
            <w:vAlign w:val="top"/>
          </w:tcPr>
          <w:p>
            <w:pPr>
              <w:spacing w:before="0" w:after="0" w:line="259" w:lineRule="auto"/>
              <w:ind w:left="8" w:firstLine="0"/>
              <w:jc w:val="left"/>
            </w:pP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25" w:firstLine="0"/>
              <w:jc w:val="center"/>
            </w:pPr>
            <w:r>
              <w:rPr>
                <w:rFonts w:cs="Arial" w:hAnsi="Arial" w:eastAsia="Arial" w:ascii="Arial"/>
                <w:b w:val="1"/>
                <w:sz w:val="16"/>
              </w:rPr>
              <w:t xml:space="preserve">700</w:t>
            </w:r>
            <w:r>
              <w:rPr>
                <w:rFonts w:cs="Arial" w:hAnsi="Arial" w:eastAsia="Arial" w:ascii="Arial"/>
                <w:b w:val="1"/>
                <w:sz w:val="16"/>
              </w:rPr>
              <w:t xml:space="preserve"> </w:t>
            </w:r>
            <w:r>
              <w:rPr>
                <w:rFonts w:cs="Arial" w:hAnsi="Arial" w:eastAsia="Arial" w:ascii="Arial"/>
                <w:b w:val="1"/>
                <w:sz w:val="16"/>
              </w:rPr>
              <w:t xml:space="preserve">000</w:t>
            </w:r>
            <w:r>
              <w:rPr>
                <w:rFonts w:cs="Arial" w:hAnsi="Arial" w:eastAsia="Arial" w:ascii="Arial"/>
                <w:b w:val="1"/>
                <w:sz w:val="16"/>
              </w:rPr>
              <w:t xml:space="preserve"> </w:t>
            </w:r>
          </w:p>
        </w:tc>
      </w:tr>
    </w:tbl>
    <w:p>
      <w:pPr>
        <w:spacing w:before="0" w:after="0" w:line="259" w:lineRule="auto"/>
        <w:ind w:left="0" w:firstLine="0"/>
      </w:pPr>
      <w:r>
        <w:rPr>
          <w:sz w:val="24"/>
        </w:rPr>
        <w:t xml:space="preserve"> 	 </w:t>
      </w:r>
    </w:p>
    <w:p>
      <w:pPr>
        <w:spacing w:before="0" w:after="0" w:line="259" w:lineRule="auto"/>
        <w:ind w:left="-1440" w:right="12297" w:firstLine="0"/>
        <w:jc w:val="left"/>
      </w:pPr>
    </w:p>
    <w:tbl>
      <w:tblPr>
        <w:tblStyle w:val="TableGrid"/>
        <w:tblW w:w="15026" w:type="dxa"/>
        <w:tblInd w:w="-533" w:type="dxa"/>
        <w:tblCellMar>
          <w:top w:w="6" w:type="dxa"/>
          <w:left w:w="79" w:type="dxa"/>
          <w:bottom w:w="0" w:type="dxa"/>
          <w:right w:w="0" w:type="dxa"/>
        </w:tblCellMar>
      </w:tblPr>
      <w:tblGrid>
        <w:gridCol w:w="2268"/>
        <w:gridCol w:w="2803"/>
        <w:gridCol w:w="2116"/>
        <w:gridCol w:w="3447"/>
        <w:gridCol w:w="1513"/>
        <w:gridCol w:w="1147"/>
        <w:gridCol w:w="883"/>
        <w:gridCol w:w="850"/>
      </w:tblGrid>
      <w:tr>
        <w:trPr>
          <w:trHeight w:val="838" w:hRule="atLeast"/>
        </w:trPr>
        <w:tc>
          <w:tcPr>
            <w:tcW w:w="2268"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rPr>
              <w:t xml:space="preserve"> </w:t>
            </w:r>
          </w:p>
          <w:p>
            <w:pPr>
              <w:spacing w:before="0" w:after="8" w:line="259" w:lineRule="auto"/>
              <w:ind w:left="1" w:firstLine="0"/>
              <w:jc w:val="left"/>
            </w:pPr>
            <w:r>
              <w:rPr>
                <w:rFonts w:cs="Times New Roman" w:hAnsi="Times New Roman" w:eastAsia="Times New Roman" w:ascii="Times New Roman"/>
                <w:b w:val="1"/>
              </w:rPr>
              <w:t xml:space="preserve"> </w:t>
            </w:r>
          </w:p>
          <w:p>
            <w:pPr>
              <w:spacing w:before="0" w:after="0" w:line="259" w:lineRule="auto"/>
              <w:ind w:left="1" w:right="22" w:firstLine="0"/>
              <w:jc w:val="left"/>
            </w:pPr>
            <w:r>
              <w:rPr>
                <w:rFonts w:cs="Times New Roman" w:hAnsi="Times New Roman" w:eastAsia="Times New Roman" w:ascii="Times New Roman"/>
                <w:b w:val="1"/>
              </w:rPr>
              <w:t xml:space="preserve">Produit 2</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de l’EPP 1.4</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 </w:t>
            </w:r>
            <w:r>
              <w:rPr>
                <w:rFonts w:cs="Times New Roman" w:hAnsi="Times New Roman" w:eastAsia="Times New Roman" w:ascii="Times New Roman"/>
                <w:i w:val="1"/>
                <w:sz w:val="20"/>
              </w:rPr>
              <w:t xml:space="preserve">Les mécanismes de financement, de coordination ainsi que les innovations technologiques et techniques appropriées répondent aux besoins d’adaptation et d’atténuation aux changements climatiques</w:t>
            </w:r>
            <w:r>
              <w:rPr>
                <w:sz w:val="18"/>
              </w:rPr>
              <w:t xml:space="preserve"> </w:t>
            </w:r>
          </w:p>
        </w:tc>
        <w:tc>
          <w:tcPr>
            <w:tcW w:w="2803" w:type="dxa"/>
            <w:vMerge w:val="restart"/>
            <w:tcBorders>
              <w:top w:val="single" w:sz="4" w:color="000000"/>
              <w:left w:val="single" w:sz="4" w:color="000000"/>
              <w:bottom w:val="single" w:sz="4" w:color="000000"/>
              <w:right w:val="single" w:sz="4" w:color="000000"/>
            </w:tcBorders>
            <w:vAlign w:val="top"/>
          </w:tcPr>
          <w:p>
            <w:pPr>
              <w:spacing w:before="0" w:after="0" w:line="239" w:lineRule="auto"/>
              <w:ind w:left="1" w:right="122" w:firstLine="0"/>
              <w:jc w:val="left"/>
            </w:pPr>
            <w:r>
              <w:rPr>
                <w:rFonts w:cs="Times New Roman" w:hAnsi="Times New Roman" w:eastAsia="Times New Roman" w:ascii="Times New Roman"/>
                <w:b w:val="1"/>
              </w:rPr>
              <w:t xml:space="preserve">Produit 3 du projet</w:t>
            </w:r>
            <w:r>
              <w:rPr>
                <w:rFonts w:cs="Times New Roman" w:hAnsi="Times New Roman" w:eastAsia="Times New Roman" w:ascii="Times New Roman"/>
                <w:b w:val="1"/>
                <w:i w:val="1"/>
              </w:rPr>
              <w:t xml:space="preserve">:</w:t>
            </w:r>
            <w:r>
              <w:rPr>
                <w:rFonts w:cs="Times New Roman" w:hAnsi="Times New Roman" w:eastAsia="Times New Roman" w:ascii="Times New Roman"/>
                <w:b w:val="1"/>
                <w:i w:val="1"/>
              </w:rPr>
              <w:t xml:space="preserve"> </w:t>
            </w:r>
            <w:r>
              <w:rPr>
                <w:rFonts w:cs="Times New Roman" w:hAnsi="Times New Roman" w:eastAsia="Times New Roman" w:ascii="Times New Roman"/>
                <w:i w:val="1"/>
                <w:sz w:val="20"/>
              </w:rPr>
              <w:t xml:space="preserve">Des plans locaux de développement sont rendus</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résilients aux changements climatiques et orientés vers une faible émission de GES </w:t>
            </w:r>
            <w:r>
              <w:rPr>
                <w:rFonts w:cs="Times New Roman" w:hAnsi="Times New Roman" w:eastAsia="Times New Roman" w:ascii="Times New Roman"/>
                <w:i w:val="1"/>
                <w:sz w:val="20"/>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 </w:t>
            </w:r>
          </w:p>
          <w:p>
            <w:pPr>
              <w:spacing w:before="0" w:after="0" w:line="238" w:lineRule="auto"/>
              <w:ind w:left="1" w:right="37" w:firstLine="0"/>
              <w:jc w:val="left"/>
            </w:pPr>
            <w:r>
              <w:rPr>
                <w:rFonts w:cs="Times New Roman" w:hAnsi="Times New Roman" w:eastAsia="Times New Roman" w:ascii="Times New Roman"/>
                <w:b w:val="1"/>
                <w:sz w:val="18"/>
              </w:rPr>
              <w:t xml:space="preserve">Ind1</w:t>
            </w:r>
            <w:r>
              <w:rPr>
                <w:sz w:val="18"/>
              </w:rPr>
              <w:t xml:space="preserve">.</w:t>
            </w:r>
            <w:r>
              <w:rPr>
                <w:rFonts w:cs="Times New Roman" w:hAnsi="Times New Roman" w:eastAsia="Times New Roman" w:ascii="Times New Roman"/>
                <w:b w:val="1"/>
                <w:sz w:val="18"/>
              </w:rPr>
              <w:t xml:space="preserve"> </w:t>
            </w:r>
            <w:r>
              <w:rPr>
                <w:sz w:val="18"/>
              </w:rPr>
              <w:t xml:space="preserve"> </w:t>
            </w:r>
            <w:r>
              <w:rPr>
                <w:sz w:val="18"/>
              </w:rPr>
              <w:t xml:space="preserve">Pourcentage des plans locaux, formulés/révisés intégrant les défis des changements climatiques adoptés</w:t>
            </w:r>
            <w:r>
              <w:rPr>
                <w:sz w:val="18"/>
              </w:rPr>
              <w:t xml:space="preserve"> </w:t>
            </w:r>
            <w:r>
              <w:rPr>
                <w:rFonts w:cs="Times New Roman" w:hAnsi="Times New Roman" w:eastAsia="Times New Roman" w:ascii="Times New Roman"/>
                <w:b w:val="1"/>
                <w:sz w:val="18"/>
              </w:rPr>
              <w:t xml:space="preserve">Baseline</w:t>
            </w:r>
            <w:r>
              <w:rPr>
                <w:sz w:val="18"/>
              </w:rPr>
              <w:t xml:space="preserve">: aucun plan local élaboré avec des outils explicites d‟intégration des questions environnementales. </w:t>
            </w:r>
            <w:r>
              <w:rPr>
                <w:rFonts w:cs="Times New Roman" w:hAnsi="Times New Roman" w:eastAsia="Times New Roman" w:ascii="Times New Roman"/>
                <w:b w:val="1"/>
                <w:sz w:val="18"/>
              </w:rPr>
              <w:t xml:space="preserve">Cible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w:t>
            </w:r>
            <w:r>
              <w:rPr>
                <w:sz w:val="18"/>
              </w:rPr>
              <w:t xml:space="preserve"> </w:t>
            </w:r>
            <w:r>
              <w:rPr>
                <w:sz w:val="18"/>
              </w:rPr>
              <w:t xml:space="preserve">tous les </w:t>
            </w:r>
          </w:p>
          <w:p>
            <w:pPr>
              <w:spacing w:before="0" w:after="2" w:line="238" w:lineRule="auto"/>
              <w:ind w:left="1" w:firstLine="0"/>
            </w:pPr>
            <w:r>
              <w:rPr>
                <w:sz w:val="18"/>
              </w:rPr>
              <w:t xml:space="preserve">plans locaux prévus dans le sous</w:t>
            </w:r>
            <w:r>
              <w:rPr>
                <w:sz w:val="18"/>
              </w:rPr>
              <w:t xml:space="preserve"/>
            </w:r>
            <w:r>
              <w:rPr>
                <w:sz w:val="18"/>
              </w:rPr>
              <w:t xml:space="preserve">programme Gouvernance</w:t>
            </w:r>
            <w:r>
              <w:rPr>
                <w:sz w:val="18"/>
              </w:rPr>
              <w:t xml:space="preserve"> </w:t>
            </w:r>
          </w:p>
          <w:p>
            <w:pPr>
              <w:spacing w:before="0" w:after="0" w:line="259" w:lineRule="auto"/>
              <w:ind w:left="1" w:firstLine="0"/>
              <w:jc w:val="left"/>
            </w:pPr>
            <w:r>
              <w:rPr>
                <w:sz w:val="18"/>
              </w:rPr>
              <w:t xml:space="preserve"> </w:t>
            </w:r>
          </w:p>
          <w:p>
            <w:pPr>
              <w:spacing w:before="0" w:after="0" w:line="238" w:lineRule="auto"/>
              <w:ind w:left="1" w:firstLine="0"/>
              <w:jc w:val="left"/>
            </w:pPr>
            <w:r>
              <w:rPr>
                <w:rFonts w:cs="Times New Roman" w:hAnsi="Times New Roman" w:eastAsia="Times New Roman" w:ascii="Times New Roman"/>
                <w:b w:val="1"/>
                <w:sz w:val="18"/>
              </w:rPr>
              <w:t xml:space="preserve">Ind.2 </w:t>
            </w:r>
            <w:r>
              <w:rPr>
                <w:sz w:val="18"/>
              </w:rPr>
              <w:t xml:space="preserve">Nombre de chartes locales adoptées</w:t>
            </w:r>
            <w:r>
              <w:rPr>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Baseline: </w:t>
            </w:r>
            <w:r>
              <w:rPr>
                <w:sz w:val="18"/>
              </w:rPr>
              <w:t xml:space="preserve">néant. </w:t>
            </w:r>
            <w:r>
              <w:rPr>
                <w:sz w:val="18"/>
              </w:rPr>
              <w:t xml:space="preserve"> </w:t>
            </w:r>
          </w:p>
          <w:p>
            <w:pPr>
              <w:spacing w:before="0" w:after="0" w:line="277" w:lineRule="auto"/>
              <w:ind w:left="1" w:firstLine="0"/>
              <w:jc w:val="left"/>
            </w:pPr>
            <w:r>
              <w:rPr>
                <w:rFonts w:cs="Times New Roman" w:hAnsi="Times New Roman" w:eastAsia="Times New Roman" w:ascii="Times New Roman"/>
                <w:b w:val="1"/>
                <w:sz w:val="18"/>
              </w:rPr>
              <w:t xml:space="preserve">Cible</w:t>
            </w:r>
            <w:r>
              <w:rPr>
                <w:rFonts w:cs="Times New Roman" w:hAnsi="Times New Roman" w:eastAsia="Times New Roman" w:ascii="Times New Roman"/>
                <w:b w:val="1"/>
                <w:sz w:val="18"/>
              </w:rPr>
              <w:t xml:space="preserve"> </w:t>
            </w:r>
            <w:r>
              <w:rPr>
                <w:sz w:val="18"/>
              </w:rPr>
              <w:t xml:space="preserve">: une charte locale/commune d‟intervention du projet</w:t>
            </w:r>
            <w:r>
              <w:rPr>
                <w:sz w:val="18"/>
              </w:rPr>
              <w:t xml:space="preserve"> </w:t>
            </w:r>
          </w:p>
          <w:p>
            <w:pPr>
              <w:spacing w:before="0" w:after="5" w:line="259" w:lineRule="auto"/>
              <w:ind w:left="1" w:firstLine="0"/>
              <w:jc w:val="left"/>
            </w:pPr>
            <w:r>
              <w:rPr>
                <w:rFonts w:cs="Times New Roman" w:hAnsi="Times New Roman" w:eastAsia="Times New Roman" w:ascii="Times New Roman"/>
                <w:b w:val="1"/>
                <w:sz w:val="18"/>
              </w:rPr>
              <w:t xml:space="preserve">  </w:t>
            </w:r>
          </w:p>
          <w:p>
            <w:pPr>
              <w:spacing w:before="0" w:after="0" w:line="238" w:lineRule="auto"/>
              <w:ind w:left="1" w:firstLine="0"/>
              <w:jc w:val="left"/>
            </w:pPr>
            <w:r>
              <w:rPr>
                <w:rFonts w:cs="Times New Roman" w:hAnsi="Times New Roman" w:eastAsia="Times New Roman" w:ascii="Times New Roman"/>
                <w:b w:val="1"/>
                <w:sz w:val="18"/>
              </w:rPr>
              <w:t xml:space="preserve">Ind 3</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w:t>
            </w:r>
            <w:r>
              <w:rPr>
                <w:sz w:val="18"/>
              </w:rPr>
              <w:t xml:space="preserve"> </w:t>
            </w:r>
            <w:r>
              <w:rPr>
                <w:sz w:val="18"/>
              </w:rPr>
              <w:t xml:space="preserve">Nombre d‟OSC outillés par le projet pour interpeller les conseils régionaux et municipaux sur les questions environnementales</w:t>
            </w:r>
            <w:r>
              <w:rPr>
                <w:sz w:val="18"/>
              </w:rPr>
              <w:t xml:space="preserve"> </w:t>
            </w:r>
          </w:p>
          <w:p>
            <w:pPr>
              <w:spacing w:before="0" w:after="0" w:line="259" w:lineRule="auto"/>
              <w:ind w:left="1" w:firstLine="0"/>
              <w:jc w:val="left"/>
            </w:pPr>
            <w:r>
              <w:rPr>
                <w:rFonts w:cs="Times New Roman" w:hAnsi="Times New Roman" w:eastAsia="Times New Roman" w:ascii="Times New Roman"/>
                <w:b w:val="1"/>
                <w:sz w:val="18"/>
              </w:rPr>
              <w:t xml:space="preserve">Baseline: 0. Cible</w:t>
            </w:r>
            <w:r>
              <w:rPr>
                <w:sz w:val="18"/>
              </w:rPr>
              <w:t xml:space="preserve">: 3 </w:t>
            </w:r>
          </w:p>
          <w:p>
            <w:pPr>
              <w:spacing w:before="0" w:after="0" w:line="238" w:lineRule="auto"/>
              <w:ind w:left="1" w:firstLine="0"/>
              <w:jc w:val="left"/>
            </w:pPr>
            <w:r>
              <w:rPr>
                <w:sz w:val="18"/>
              </w:rPr>
              <w:t xml:space="preserve">OSC/province pour les conseils municipaux, 3 OSC par région pour les Conseils Régionaux</w:t>
            </w:r>
            <w:r>
              <w:rPr>
                <w:sz w:val="18"/>
              </w:rPr>
              <w:t xml:space="preserve"> </w:t>
            </w:r>
          </w:p>
          <w:p>
            <w:pPr>
              <w:spacing w:before="0" w:after="0" w:line="259" w:lineRule="auto"/>
              <w:ind w:left="1" w:firstLine="0"/>
              <w:jc w:val="left"/>
            </w:pPr>
            <w:r>
              <w:rPr>
                <w:sz w:val="18"/>
              </w:rPr>
              <w:t xml:space="preserve"> </w:t>
            </w:r>
          </w:p>
        </w:tc>
        <w:tc>
          <w:tcPr>
            <w:tcW w:w="211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r>
              <w:rPr>
                <w:sz w:val="18"/>
              </w:rPr>
              <w:t xml:space="preserve"> </w:t>
            </w:r>
          </w:p>
        </w:tc>
        <w:tc>
          <w:tcPr>
            <w:tcW w:w="3447" w:type="dxa"/>
            <w:tcBorders>
              <w:top w:val="single" w:sz="4" w:color="000000"/>
              <w:left w:val="single" w:sz="4" w:color="000000"/>
              <w:bottom w:val="single" w:sz="4" w:color="000000"/>
              <w:right w:val="single" w:sz="4" w:color="000000"/>
            </w:tcBorders>
            <w:vAlign w:val="top"/>
          </w:tcPr>
          <w:p>
            <w:pPr>
              <w:spacing w:before="0" w:after="0" w:line="238" w:lineRule="auto"/>
              <w:ind w:left="361" w:hanging="360"/>
              <w:jc w:val="left"/>
            </w:pPr>
            <w:r>
              <w:rPr>
                <w:sz w:val="18"/>
              </w:rPr>
              <w:t xml:space="preserve">1.12</w:t>
            </w:r>
            <w:r>
              <w:rPr>
                <w:rFonts w:cs="Arial" w:hAnsi="Arial" w:eastAsia="Arial" w:ascii="Arial"/>
                <w:sz w:val="18"/>
              </w:rPr>
              <w:t xml:space="preserve"> </w:t>
            </w:r>
            <w:r>
              <w:rPr>
                <w:sz w:val="18"/>
              </w:rPr>
              <w:t xml:space="preserve">Appui à l‟élaboration et la mise en œuvre de plans de développement des capacités des collectivités</w:t>
            </w:r>
            <w:r>
              <w:rPr>
                <w:sz w:val="18"/>
              </w:rPr>
              <w:t xml:space="preserve"> </w:t>
            </w:r>
          </w:p>
          <w:p>
            <w:pPr>
              <w:spacing w:before="0" w:after="0" w:line="259" w:lineRule="auto"/>
              <w:ind w:left="1" w:firstLine="0"/>
              <w:jc w:val="left"/>
            </w:pP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Collectivités Territoriales</w:t>
            </w: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150 000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111" w:firstLine="0"/>
              <w:jc w:val="center"/>
            </w:pPr>
            <w:r>
              <w:rPr>
                <w:sz w:val="12"/>
              </w:rPr>
              <w:t xml:space="preserve">A rechercher</w:t>
            </w:r>
            <w:r>
              <w:rPr>
                <w:rFonts w:cs="Arial" w:hAnsi="Arial" w:eastAsia="Arial" w:ascii="Arial"/>
                <w:sz w:val="12"/>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62" w:firstLine="0"/>
              <w:jc w:val="center"/>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857" w:hRule="atLeast"/>
        </w:trPr>
        <w:tc>
          <w:tcPr>
            <w:vMerge w:val="continue"/>
            <w:tcBorders>
              <w:top w:val="nil"/>
              <w:left w:val="single" w:sz="4" w:color="000000"/>
              <w:bottom w:val="nil"/>
              <w:right w:val="single" w:sz="4" w:color="000000"/>
            </w:tcBorders>
            <w:vAlign w:val="bottom"/>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center"/>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20"/>
              </w:rPr>
              <w:t xml:space="preserve">1.13</w:t>
            </w:r>
            <w:r>
              <w:rPr>
                <w:rFonts w:cs="Arial" w:hAnsi="Arial" w:eastAsia="Arial" w:ascii="Arial"/>
                <w:sz w:val="20"/>
              </w:rPr>
              <w:t xml:space="preserve"> </w:t>
            </w:r>
            <w:r>
              <w:rPr>
                <w:sz w:val="18"/>
              </w:rPr>
              <w:t xml:space="preserve"> </w:t>
            </w:r>
            <w:r>
              <w:rPr>
                <w:sz w:val="18"/>
              </w:rPr>
              <w:t xml:space="preserve">Formation des structures d‟appui</w:t>
            </w:r>
            <w:r>
              <w:rPr>
                <w:sz w:val="18"/>
              </w:rPr>
              <w:t xml:space="preserve"/>
            </w:r>
            <w:r>
              <w:rPr>
                <w:sz w:val="18"/>
              </w:rPr>
              <w:t xml:space="preserve">Conseil (outils de mainstreaming</w:t>
            </w:r>
            <w:r>
              <w:rPr>
                <w:sz w:val="18"/>
              </w:rPr>
              <w:t xml:space="preserve"> </w:t>
            </w:r>
            <w:r>
              <w:rPr>
                <w:sz w:val="18"/>
              </w:rPr>
              <w:t xml:space="preserve">et méthodologie d‟élaboration des chartes locales)</w:t>
            </w:r>
            <w:r>
              <w:rPr>
                <w:sz w:val="20"/>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111"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65" w:firstLine="0"/>
              <w:jc w:val="center"/>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63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center"/>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8"/>
              </w:rPr>
              <w:t xml:space="preserve">1.14</w:t>
            </w:r>
            <w:r>
              <w:rPr>
                <w:rFonts w:cs="Arial" w:hAnsi="Arial" w:eastAsia="Arial" w:ascii="Arial"/>
                <w:sz w:val="18"/>
              </w:rPr>
              <w:t xml:space="preserve"> </w:t>
            </w:r>
            <w:r>
              <w:rPr>
                <w:sz w:val="18"/>
              </w:rPr>
              <w:t xml:space="preserve">Mise au point /adaptation/diffusion des outils d‟analyse de vulnérabilité et de</w:t>
            </w:r>
            <w:r>
              <w:rPr>
                <w:sz w:val="18"/>
              </w:rPr>
              <w:t xml:space="preserve"> </w:t>
            </w:r>
            <w:r>
              <w:rPr>
                <w:sz w:val="18"/>
              </w:rPr>
              <w:t xml:space="preserve">mainstreaming au niveau local</w:t>
            </w: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40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1" w:firstLine="0"/>
              <w:jc w:val="left"/>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27" w:firstLine="0"/>
              <w:jc w:val="center"/>
            </w:pPr>
            <w:r>
              <w:rPr>
                <w:rFonts w:cs="Arial" w:hAnsi="Arial" w:eastAsia="Arial" w:ascii="Arial"/>
                <w:sz w:val="16"/>
              </w:rPr>
              <w:t xml:space="preserve"> </w:t>
            </w:r>
          </w:p>
        </w:tc>
      </w:tr>
      <w:tr>
        <w:trPr>
          <w:trHeight w:val="468" w:hRule="atLeast"/>
        </w:trPr>
        <w:tc>
          <w:tcPr>
            <w:vMerge w:val="continue"/>
            <w:tcBorders>
              <w:top w:val="nil"/>
              <w:left w:val="single" w:sz="4" w:color="000000"/>
              <w:bottom w:val="nil"/>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361" w:hanging="360"/>
              <w:jc w:val="left"/>
            </w:pPr>
            <w:r>
              <w:rPr>
                <w:sz w:val="16"/>
              </w:rPr>
              <w:t xml:space="preserve">1.15</w:t>
            </w:r>
            <w:r>
              <w:rPr>
                <w:rFonts w:cs="Arial" w:hAnsi="Arial" w:eastAsia="Arial" w:ascii="Arial"/>
                <w:sz w:val="16"/>
              </w:rPr>
              <w:t xml:space="preserve"> </w:t>
            </w:r>
            <w:r>
              <w:rPr>
                <w:sz w:val="20"/>
              </w:rPr>
              <w:t xml:space="preserve"> </w:t>
            </w:r>
            <w:r>
              <w:rPr>
                <w:sz w:val="20"/>
              </w:rPr>
              <w:t xml:space="preserve">Capitalisation et diffusion</w:t>
            </w:r>
            <w:r>
              <w:rPr>
                <w:sz w:val="20"/>
              </w:rPr>
              <w:t xml:space="preserve"> </w:t>
            </w:r>
            <w:r>
              <w:rPr>
                <w:sz w:val="20"/>
              </w:rPr>
              <w:t xml:space="preserve">des bonnes pratiques </w:t>
            </w:r>
            <w:r>
              <w:rPr>
                <w:sz w:val="16"/>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100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1" w:firstLine="0"/>
              <w:jc w:val="left"/>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27" w:firstLine="0"/>
              <w:jc w:val="center"/>
            </w:pPr>
            <w:r>
              <w:rPr>
                <w:rFonts w:cs="Arial" w:hAnsi="Arial" w:eastAsia="Arial" w:ascii="Arial"/>
                <w:sz w:val="16"/>
              </w:rPr>
              <w:t xml:space="preserve"> </w:t>
            </w:r>
          </w:p>
        </w:tc>
      </w:tr>
      <w:tr>
        <w:trPr>
          <w:trHeight w:val="1459" w:hRule="atLeast"/>
        </w:trPr>
        <w:tc>
          <w:tcPr>
            <w:vMerge w:val="continue"/>
            <w:tcBorders>
              <w:top w:val="nil"/>
              <w:left w:val="single" w:sz="4" w:color="000000"/>
              <w:bottom w:val="nil"/>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bottom"/>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2" w:line="238" w:lineRule="auto"/>
              <w:ind w:left="361" w:hanging="360"/>
              <w:jc w:val="left"/>
            </w:pPr>
            <w:r>
              <w:rPr>
                <w:sz w:val="18"/>
              </w:rPr>
              <w:t xml:space="preserve">1.16</w:t>
            </w:r>
            <w:r>
              <w:rPr>
                <w:rFonts w:cs="Arial" w:hAnsi="Arial" w:eastAsia="Arial" w:ascii="Arial"/>
                <w:sz w:val="18"/>
              </w:rPr>
              <w:t xml:space="preserve"> </w:t>
            </w:r>
            <w:r>
              <w:rPr>
                <w:sz w:val="18"/>
              </w:rPr>
              <w:t xml:space="preserve">Appui à l‟intégration des défis d‟adaptation aux changements climatiques et de réduction des émissions de carbone dans les plans locaux de développement</w:t>
            </w:r>
            <w:r>
              <w:rPr>
                <w:sz w:val="18"/>
              </w:rPr>
              <w:t xml:space="preserve"> </w:t>
            </w:r>
            <w:r>
              <w:rPr>
                <w:sz w:val="18"/>
              </w:rPr>
              <w:t xml:space="preserve">(en </w:t>
            </w:r>
          </w:p>
          <w:p>
            <w:pPr>
              <w:spacing w:before="0" w:after="0" w:line="259" w:lineRule="auto"/>
              <w:ind w:left="361" w:firstLine="0"/>
              <w:jc w:val="left"/>
            </w:pPr>
            <w:r>
              <w:rPr>
                <w:sz w:val="18"/>
              </w:rPr>
              <w:t xml:space="preserve">collaboration avec  le sous</w:t>
            </w:r>
            <w:r>
              <w:rPr>
                <w:sz w:val="18"/>
              </w:rPr>
              <w:t xml:space="preserve">-</w:t>
            </w:r>
            <w:r>
              <w:rPr>
                <w:sz w:val="18"/>
              </w:rPr>
              <w:t xml:space="preserve">programme </w:t>
            </w:r>
          </w:p>
          <w:p>
            <w:pPr>
              <w:spacing w:before="0" w:after="0" w:line="259" w:lineRule="auto"/>
              <w:ind w:left="361" w:firstLine="0"/>
              <w:jc w:val="left"/>
            </w:pPr>
            <w:r>
              <w:rPr>
                <w:sz w:val="18"/>
              </w:rPr>
              <w:t xml:space="preserve">Gouvernance)</w:t>
            </w: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Collectivités Territoriales</w:t>
            </w: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150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111"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62" w:firstLine="0"/>
              <w:jc w:val="center"/>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254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7" w:line="250" w:lineRule="auto"/>
              <w:ind w:left="361" w:right="33" w:hanging="360"/>
              <w:jc w:val="left"/>
            </w:pPr>
            <w:r>
              <w:rPr>
                <w:sz w:val="18"/>
              </w:rPr>
              <w:t xml:space="preserve">1.17</w:t>
            </w:r>
            <w:r>
              <w:rPr>
                <w:rFonts w:cs="Arial" w:hAnsi="Arial" w:eastAsia="Arial" w:ascii="Arial"/>
                <w:sz w:val="18"/>
              </w:rPr>
              <w:t xml:space="preserve"> </w:t>
            </w:r>
            <w:r>
              <w:rPr>
                <w:sz w:val="20"/>
              </w:rPr>
              <w:t xml:space="preserve">Appui</w:t>
            </w:r>
            <w:r>
              <w:rPr>
                <w:sz w:val="18"/>
              </w:rPr>
              <w:t xml:space="preserve"> </w:t>
            </w:r>
            <w:r>
              <w:rPr>
                <w:sz w:val="18"/>
              </w:rPr>
              <w:t xml:space="preserve">à l‟élaboration de chartes locales</w:t>
            </w:r>
            <w:r>
              <w:rPr>
                <w:sz w:val="18"/>
              </w:rPr>
              <w:t xml:space="preserve"> </w:t>
            </w:r>
          </w:p>
          <w:p>
            <w:pPr>
              <w:spacing w:before="0" w:after="0" w:line="259" w:lineRule="auto"/>
              <w:ind w:left="1" w:firstLine="0"/>
              <w:jc w:val="left"/>
            </w:pPr>
            <w:r>
              <w:rPr>
                <w:sz w:val="20"/>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Collectivités Territoriales</w:t>
            </w: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111"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62" w:firstLine="0"/>
              <w:jc w:val="center"/>
            </w:pPr>
            <w:r>
              <w:rPr>
                <w:rFonts w:cs="Arial" w:hAnsi="Arial" w:eastAsia="Arial" w:ascii="Arial"/>
                <w:sz w:val="16"/>
              </w:rPr>
              <w:t xml:space="preserve">150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214" w:hRule="atLeast"/>
        </w:trPr>
        <w:tc>
          <w:tcPr>
            <w:vMerge w:val="continue"/>
            <w:tcBorders>
              <w:top w:val="nil"/>
              <w:left w:val="single" w:sz="4" w:color="000000"/>
              <w:bottom w:val="nil"/>
              <w:right w:val="single" w:sz="4" w:color="000000"/>
            </w:tcBorders>
            <w:vAlign w:val="bottom"/>
          </w:tcPr>
          <w:p>
            <w:pPr>
              <w:bidi w:val="0"/>
              <w:spacing w:before="0" w:after="160" w:line="259" w:lineRule="auto"/>
              <w:ind w:left="0" w:right="0" w:firstLine="0"/>
              <w:jc w:val="left"/>
            </w:pP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sz w:val="18"/>
              </w:rPr>
              <w:t xml:space="preserve">Total Produit 3</w:t>
            </w:r>
            <w:r>
              <w:rPr>
                <w:rFonts w:cs="Times New Roman" w:hAnsi="Times New Roman" w:eastAsia="Times New Roman" w:ascii="Times New Roman"/>
                <w:b w:val="1"/>
                <w:sz w:val="18"/>
              </w:rPr>
              <w:t xml:space="preserve"> </w:t>
            </w:r>
          </w:p>
        </w:tc>
        <w:tc>
          <w:tcPr>
            <w:tcW w:w="7076" w:type="dxa"/>
            <w:gridSpan w:val="3"/>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left"/>
            </w:pP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top"/>
          </w:tcPr>
          <w:p>
            <w:pPr>
              <w:spacing w:before="0" w:after="0" w:line="259" w:lineRule="auto"/>
              <w:ind w:left="0" w:right="64" w:firstLine="0"/>
              <w:jc w:val="right"/>
            </w:pPr>
            <w:r>
              <w:rPr>
                <w:rFonts w:cs="Arial" w:hAnsi="Arial" w:eastAsia="Arial" w:ascii="Arial"/>
                <w:b w:val="1"/>
                <w:sz w:val="16"/>
              </w:rPr>
              <w:t xml:space="preserve">540 000</w:t>
            </w:r>
            <w:r>
              <w:rPr>
                <w:rFonts w:cs="Arial" w:hAnsi="Arial" w:eastAsia="Arial" w:ascii="Arial"/>
                <w:b w:val="1"/>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111"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62" w:firstLine="0"/>
              <w:jc w:val="center"/>
            </w:pPr>
            <w:r>
              <w:rPr>
                <w:rFonts w:cs="Arial" w:hAnsi="Arial" w:eastAsia="Arial" w:ascii="Arial"/>
                <w:b w:val="1"/>
                <w:sz w:val="16"/>
              </w:rPr>
              <w:t xml:space="preserve">600</w:t>
            </w:r>
            <w:r>
              <w:rPr>
                <w:rFonts w:cs="Arial" w:hAnsi="Arial" w:eastAsia="Arial" w:ascii="Arial"/>
                <w:b w:val="1"/>
                <w:sz w:val="16"/>
              </w:rPr>
              <w:t xml:space="preserve"> </w:t>
            </w:r>
            <w:r>
              <w:rPr>
                <w:rFonts w:cs="Arial" w:hAnsi="Arial" w:eastAsia="Arial" w:ascii="Arial"/>
                <w:b w:val="1"/>
                <w:sz w:val="16"/>
              </w:rPr>
              <w:t xml:space="preserve">000</w:t>
            </w:r>
            <w:r>
              <w:rPr>
                <w:rFonts w:cs="Arial" w:hAnsi="Arial" w:eastAsia="Arial" w:ascii="Arial"/>
                <w:b w:val="1"/>
                <w:sz w:val="16"/>
              </w:rPr>
              <w:t xml:space="preserve"> </w:t>
            </w:r>
          </w:p>
        </w:tc>
      </w:tr>
      <w:tr>
        <w:trPr>
          <w:trHeight w:val="114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Times New Roman" w:hAnsi="Times New Roman" w:eastAsia="Times New Roman" w:ascii="Times New Roman"/>
                <w:b w:val="1"/>
                <w:sz w:val="18"/>
              </w:rPr>
              <w:t xml:space="preserve">Produit 4.du projet</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 </w:t>
            </w:r>
          </w:p>
          <w:p>
            <w:pPr>
              <w:spacing w:before="0" w:after="18" w:line="259" w:lineRule="auto"/>
              <w:ind w:left="0" w:right="28" w:firstLine="0"/>
              <w:jc w:val="center"/>
            </w:pPr>
            <w:r>
              <w:rPr>
                <w:sz w:val="16"/>
              </w:rPr>
              <w:t xml:space="preserve"> </w:t>
            </w:r>
          </w:p>
          <w:p>
            <w:pPr>
              <w:spacing w:before="0" w:after="0" w:line="259" w:lineRule="auto"/>
              <w:ind w:left="1" w:firstLine="0"/>
              <w:jc w:val="left"/>
            </w:pPr>
            <w:r>
              <w:rPr>
                <w:rFonts w:cs="Times New Roman" w:hAnsi="Times New Roman" w:eastAsia="Times New Roman" w:ascii="Times New Roman"/>
                <w:i w:val="1"/>
                <w:sz w:val="20"/>
              </w:rPr>
              <w:t xml:space="preserve">Les CT et les communautés bénéficient des mécanismes de financement appropriés pour </w:t>
            </w:r>
          </w:p>
        </w:tc>
        <w:tc>
          <w:tcPr>
            <w:tcW w:w="21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 </w:t>
            </w:r>
          </w:p>
        </w:tc>
        <w:tc>
          <w:tcPr>
            <w:tcW w:w="3447" w:type="dxa"/>
            <w:tcBorders>
              <w:top w:val="single" w:sz="4" w:color="000000"/>
              <w:left w:val="single" w:sz="4" w:color="000000"/>
              <w:bottom w:val="single" w:sz="4" w:color="000000"/>
              <w:right w:val="single" w:sz="4" w:color="000000"/>
            </w:tcBorders>
            <w:vAlign w:val="top"/>
          </w:tcPr>
          <w:p>
            <w:pPr>
              <w:spacing w:before="0" w:after="3" w:line="259" w:lineRule="auto"/>
              <w:ind w:left="1" w:firstLine="0"/>
              <w:jc w:val="left"/>
            </w:pPr>
            <w:r>
              <w:rPr>
                <w:sz w:val="18"/>
              </w:rPr>
              <w:t xml:space="preserve"> </w:t>
            </w:r>
          </w:p>
          <w:p>
            <w:pPr>
              <w:spacing w:before="0" w:after="0" w:line="259" w:lineRule="auto"/>
              <w:ind w:left="361" w:hanging="360"/>
              <w:jc w:val="left"/>
            </w:pPr>
            <w:r>
              <w:rPr>
                <w:sz w:val="18"/>
              </w:rPr>
              <w:t xml:space="preserve">1.18</w:t>
            </w:r>
            <w:r>
              <w:rPr>
                <w:rFonts w:cs="Arial" w:hAnsi="Arial" w:eastAsia="Arial" w:ascii="Arial"/>
                <w:sz w:val="18"/>
              </w:rPr>
              <w:t xml:space="preserve"> </w:t>
            </w:r>
            <w:r>
              <w:rPr>
                <w:sz w:val="18"/>
              </w:rPr>
              <w:t xml:space="preserve">Appui à la mise en place d‟un Fonds National pour le Climat</w:t>
            </w: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64" w:firstLine="0"/>
              <w:jc w:val="right"/>
            </w:pPr>
            <w:r>
              <w:rPr>
                <w:rFonts w:cs="Arial" w:hAnsi="Arial" w:eastAsia="Arial" w:ascii="Arial"/>
                <w:sz w:val="16"/>
              </w:rPr>
              <w:t xml:space="preserve">100000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67"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62" w:firstLine="0"/>
              <w:jc w:val="center"/>
            </w:pPr>
            <w:r>
              <w:rPr>
                <w:rFonts w:cs="Arial" w:hAnsi="Arial" w:eastAsia="Arial" w:ascii="Arial"/>
                <w:sz w:val="16"/>
              </w:rPr>
              <w:t xml:space="preserve">250000</w:t>
            </w:r>
            <w:r>
              <w:rPr>
                <w:rFonts w:cs="Arial" w:hAnsi="Arial" w:eastAsia="Arial" w:ascii="Arial"/>
                <w:sz w:val="16"/>
              </w:rPr>
              <w:t xml:space="preserve"> </w:t>
            </w:r>
          </w:p>
        </w:tc>
      </w:tr>
    </w:tbl>
    <w:tbl>
      <w:tblPr>
        <w:tblStyle w:val="TableGrid"/>
        <w:tblW w:w="15026" w:type="dxa"/>
        <w:tblInd w:w="-533" w:type="dxa"/>
        <w:tblCellMar>
          <w:top w:w="6" w:type="dxa"/>
          <w:left w:w="79" w:type="dxa"/>
          <w:bottom w:w="0" w:type="dxa"/>
          <w:right w:w="0" w:type="dxa"/>
        </w:tblCellMar>
      </w:tblPr>
      <w:tblGrid>
        <w:gridCol w:w="2268"/>
        <w:gridCol w:w="2803"/>
        <w:gridCol w:w="2116"/>
        <w:gridCol w:w="3447"/>
        <w:gridCol w:w="1513"/>
        <w:gridCol w:w="1147"/>
        <w:gridCol w:w="883"/>
        <w:gridCol w:w="850"/>
      </w:tblGrid>
      <w:tr>
        <w:trPr>
          <w:trHeight w:val="1142" w:hRule="atLeast"/>
        </w:trPr>
        <w:tc>
          <w:tcPr>
            <w:tcW w:w="2268"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03" w:type="dxa"/>
            <w:vMerge w:val="restart"/>
            <w:tcBorders>
              <w:top w:val="single" w:sz="4" w:color="000000"/>
              <w:left w:val="single" w:sz="4" w:color="000000"/>
              <w:bottom w:val="single" w:sz="4" w:color="000000"/>
              <w:right w:val="single" w:sz="4" w:color="000000"/>
            </w:tcBorders>
            <w:vAlign w:val="top"/>
          </w:tcPr>
          <w:p>
            <w:pPr>
              <w:spacing w:before="0" w:after="1" w:line="238" w:lineRule="auto"/>
              <w:ind w:left="29" w:right="148" w:firstLine="0"/>
            </w:pPr>
            <w:r>
              <w:rPr>
                <w:rFonts w:cs="Times New Roman" w:hAnsi="Times New Roman" w:eastAsia="Times New Roman" w:ascii="Times New Roman"/>
                <w:i w:val="1"/>
                <w:sz w:val="20"/>
              </w:rPr>
              <w:t xml:space="preserve">mettre en œuvre plans locaux de développement  résilients aux changements climatiques et </w:t>
            </w:r>
          </w:p>
          <w:p>
            <w:pPr>
              <w:spacing w:before="0" w:after="0" w:line="259" w:lineRule="auto"/>
              <w:ind w:left="29" w:firstLine="0"/>
              <w:jc w:val="left"/>
            </w:pPr>
            <w:r>
              <w:rPr>
                <w:rFonts w:cs="Times New Roman" w:hAnsi="Times New Roman" w:eastAsia="Times New Roman" w:ascii="Times New Roman"/>
                <w:i w:val="1"/>
                <w:sz w:val="20"/>
              </w:rPr>
              <w:t xml:space="preserve">orientés vers une faible</w:t>
            </w:r>
            <w:r>
              <w:rPr>
                <w:sz w:val="20"/>
              </w:rPr>
              <w:t xml:space="preserve"> </w:t>
            </w:r>
          </w:p>
          <w:p>
            <w:pPr>
              <w:spacing w:before="0" w:after="0" w:line="259" w:lineRule="auto"/>
              <w:ind w:left="29" w:firstLine="0"/>
              <w:jc w:val="left"/>
            </w:pPr>
            <w:r>
              <w:rPr>
                <w:rFonts w:cs="Times New Roman" w:hAnsi="Times New Roman" w:eastAsia="Times New Roman" w:ascii="Times New Roman"/>
                <w:i w:val="1"/>
                <w:sz w:val="20"/>
              </w:rPr>
              <w:t xml:space="preserve">émission de GES</w:t>
            </w:r>
            <w:r>
              <w:rPr>
                <w:rFonts w:cs="Times New Roman" w:hAnsi="Times New Roman" w:eastAsia="Times New Roman" w:ascii="Times New Roman"/>
                <w:i w:val="1"/>
                <w:sz w:val="20"/>
              </w:rPr>
              <w:t xml:space="preserve"> </w:t>
            </w:r>
          </w:p>
          <w:p>
            <w:pPr>
              <w:spacing w:before="0" w:after="0" w:line="259" w:lineRule="auto"/>
              <w:ind w:left="29" w:firstLine="0"/>
              <w:jc w:val="left"/>
            </w:pPr>
            <w:r>
              <w:rPr>
                <w:rFonts w:cs="Times New Roman" w:hAnsi="Times New Roman" w:eastAsia="Times New Roman" w:ascii="Times New Roman"/>
                <w:i w:val="1"/>
              </w:rPr>
              <w:t xml:space="preserve"> </w:t>
            </w:r>
          </w:p>
          <w:p>
            <w:pPr>
              <w:spacing w:before="0" w:after="0" w:line="240" w:lineRule="auto"/>
              <w:ind w:left="29" w:firstLine="0"/>
              <w:jc w:val="left"/>
            </w:pPr>
            <w:r>
              <w:rPr>
                <w:rFonts w:cs="Times New Roman" w:hAnsi="Times New Roman" w:eastAsia="Times New Roman" w:ascii="Times New Roman"/>
                <w:b w:val="1"/>
                <w:sz w:val="18"/>
              </w:rPr>
              <w:t xml:space="preserve">Ind.</w:t>
            </w:r>
            <w:r>
              <w:rPr>
                <w:rFonts w:cs="Times New Roman" w:hAnsi="Times New Roman" w:eastAsia="Times New Roman" w:ascii="Times New Roman"/>
                <w:b w:val="1"/>
                <w:sz w:val="18"/>
              </w:rPr>
              <w:t xml:space="preserve">1.</w:t>
            </w:r>
            <w:r>
              <w:rPr>
                <w:sz w:val="18"/>
              </w:rPr>
              <w:t xml:space="preserve"> </w:t>
            </w:r>
            <w:r>
              <w:rPr>
                <w:sz w:val="18"/>
              </w:rPr>
              <w:t xml:space="preserve">Nombre de projets de CT financés</w:t>
            </w:r>
            <w:r>
              <w:rPr>
                <w:sz w:val="18"/>
              </w:rPr>
              <w:t xml:space="preserve"> </w:t>
            </w:r>
          </w:p>
          <w:p>
            <w:pPr>
              <w:spacing w:before="0" w:after="0" w:line="259" w:lineRule="auto"/>
              <w:ind w:left="29" w:firstLine="0"/>
              <w:jc w:val="left"/>
            </w:pPr>
            <w:r>
              <w:rPr>
                <w:rFonts w:cs="Times New Roman" w:hAnsi="Times New Roman" w:eastAsia="Times New Roman" w:ascii="Times New Roman"/>
                <w:b w:val="1"/>
                <w:sz w:val="18"/>
              </w:rPr>
              <w:t xml:space="preserve">Baseline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w:t>
            </w:r>
            <w:r>
              <w:rPr>
                <w:sz w:val="18"/>
              </w:rPr>
              <w:t xml:space="preserve"> </w:t>
            </w:r>
            <w:r>
              <w:rPr>
                <w:sz w:val="18"/>
              </w:rPr>
              <w:t xml:space="preserve">0 </w:t>
            </w:r>
            <w:r>
              <w:rPr>
                <w:rFonts w:cs="Times New Roman" w:hAnsi="Times New Roman" w:eastAsia="Times New Roman" w:ascii="Times New Roman"/>
                <w:b w:val="1"/>
                <w:sz w:val="18"/>
              </w:rPr>
              <w:t xml:space="preserve">Cible</w:t>
            </w:r>
            <w:r>
              <w:rPr>
                <w:rFonts w:cs="Times New Roman" w:hAnsi="Times New Roman" w:eastAsia="Times New Roman" w:ascii="Times New Roman"/>
                <w:b w:val="1"/>
                <w:sz w:val="18"/>
              </w:rPr>
              <w:t xml:space="preserve"> </w:t>
            </w:r>
            <w:r>
              <w:rPr>
                <w:rFonts w:cs="Times New Roman" w:hAnsi="Times New Roman" w:eastAsia="Times New Roman" w:ascii="Times New Roman"/>
                <w:b w:val="1"/>
                <w:sz w:val="18"/>
              </w:rPr>
              <w:t xml:space="preserve">: </w:t>
            </w:r>
            <w:r>
              <w:rPr>
                <w:sz w:val="18"/>
              </w:rPr>
              <w:t xml:space="preserve">5 projets</w:t>
            </w:r>
            <w:r>
              <w:rPr>
                <w:rFonts w:cs="Times New Roman" w:hAnsi="Times New Roman" w:eastAsia="Times New Roman" w:ascii="Times New Roman"/>
                <w:b w:val="1"/>
                <w:sz w:val="18"/>
              </w:rPr>
              <w:t xml:space="preserve"> </w:t>
            </w:r>
          </w:p>
          <w:p>
            <w:pPr>
              <w:spacing w:before="0" w:after="0" w:line="259" w:lineRule="auto"/>
              <w:ind w:left="29" w:firstLine="0"/>
              <w:jc w:val="left"/>
            </w:pPr>
            <w:r>
              <w:rPr>
                <w:rFonts w:cs="Times New Roman" w:hAnsi="Times New Roman" w:eastAsia="Times New Roman" w:ascii="Times New Roman"/>
                <w:b w:val="1"/>
                <w:sz w:val="18"/>
              </w:rPr>
              <w:t xml:space="preserve"> </w:t>
            </w:r>
          </w:p>
          <w:p>
            <w:pPr>
              <w:spacing w:before="0" w:after="0" w:line="239" w:lineRule="auto"/>
              <w:ind w:left="29" w:right="76" w:firstLine="0"/>
              <w:jc w:val="left"/>
            </w:pPr>
            <w:r>
              <w:rPr>
                <w:rFonts w:cs="Times New Roman" w:hAnsi="Times New Roman" w:eastAsia="Times New Roman" w:ascii="Times New Roman"/>
                <w:b w:val="1"/>
                <w:sz w:val="18"/>
              </w:rPr>
              <w:t xml:space="preserve">Ind2</w:t>
            </w:r>
            <w:r>
              <w:rPr>
                <w:rFonts w:cs="Times New Roman" w:hAnsi="Times New Roman" w:eastAsia="Times New Roman" w:ascii="Times New Roman"/>
                <w:b w:val="1"/>
                <w:sz w:val="18"/>
              </w:rPr>
              <w:t xml:space="preserve"> </w:t>
            </w:r>
            <w:r>
              <w:rPr>
                <w:sz w:val="18"/>
              </w:rPr>
              <w:t xml:space="preserve">: Nbre de projets communautaires mis en oeuvre dans le cadre des plans locaux </w:t>
            </w:r>
          </w:p>
          <w:p>
            <w:pPr>
              <w:spacing w:before="0" w:after="0" w:line="238" w:lineRule="auto"/>
              <w:ind w:left="29" w:right="260" w:firstLine="0"/>
              <w:jc w:val="left"/>
            </w:pPr>
            <w:r>
              <w:rPr>
                <w:sz w:val="18"/>
              </w:rPr>
              <w:t xml:space="preserve">élaborés/ révisés</w:t>
            </w:r>
            <w:r>
              <w:rPr>
                <w:sz w:val="18"/>
              </w:rPr>
              <w:t xml:space="preserve"> </w:t>
            </w:r>
            <w:r>
              <w:rPr>
                <w:rFonts w:cs="Times New Roman" w:hAnsi="Times New Roman" w:eastAsia="Times New Roman" w:ascii="Times New Roman"/>
                <w:b w:val="1"/>
                <w:sz w:val="18"/>
              </w:rPr>
              <w:t xml:space="preserve">Baseline: </w:t>
            </w:r>
            <w:r>
              <w:rPr>
                <w:sz w:val="18"/>
              </w:rPr>
              <w:t xml:space="preserve">Aucun projet communautaire soutenu en lien avec le mainstreaming de l‟environnement dans les plans locaux; </w:t>
            </w:r>
            <w:r>
              <w:rPr>
                <w:rFonts w:cs="Times New Roman" w:hAnsi="Times New Roman" w:eastAsia="Times New Roman" w:ascii="Times New Roman"/>
                <w:b w:val="1"/>
                <w:sz w:val="18"/>
              </w:rPr>
              <w:t xml:space="preserve">Cible:</w:t>
            </w:r>
            <w:r>
              <w:rPr>
                <w:sz w:val="18"/>
              </w:rPr>
              <w:t xml:space="preserve"> </w:t>
            </w:r>
            <w:r>
              <w:rPr>
                <w:sz w:val="18"/>
              </w:rPr>
              <w:t xml:space="preserve">au moins un projet par commune bénéficiaire de financement</w:t>
            </w:r>
            <w:r>
              <w:rPr>
                <w:rFonts w:cs="Times New Roman" w:hAnsi="Times New Roman" w:eastAsia="Times New Roman" w:ascii="Times New Roman"/>
                <w:b w:val="1"/>
                <w:sz w:val="18"/>
              </w:rPr>
              <w:t xml:space="preserve"> </w:t>
            </w:r>
          </w:p>
          <w:p>
            <w:pPr>
              <w:spacing w:before="0" w:after="0" w:line="238" w:lineRule="auto"/>
              <w:ind w:left="29" w:firstLine="0"/>
              <w:jc w:val="left"/>
            </w:pPr>
            <w:r>
              <w:rPr>
                <w:rFonts w:cs="Times New Roman" w:hAnsi="Times New Roman" w:eastAsia="Times New Roman" w:ascii="Times New Roman"/>
                <w:b w:val="1"/>
                <w:sz w:val="18"/>
              </w:rPr>
              <w:t xml:space="preserve">Ind.3</w:t>
            </w:r>
            <w:r>
              <w:rPr>
                <w:sz w:val="18"/>
              </w:rPr>
              <w:t xml:space="preserve">: Nombre de personnes (dont 50% de femmes ) touchées par les </w:t>
            </w:r>
          </w:p>
          <w:p>
            <w:pPr>
              <w:spacing w:before="0" w:after="0" w:line="259" w:lineRule="auto"/>
              <w:ind w:left="29" w:firstLine="0"/>
              <w:jc w:val="left"/>
            </w:pPr>
            <w:r>
              <w:rPr>
                <w:sz w:val="18"/>
              </w:rPr>
              <w:t xml:space="preserve">projets financés</w:t>
            </w:r>
            <w:r>
              <w:rPr>
                <w:sz w:val="18"/>
              </w:rPr>
              <w:t xml:space="preserve"> </w:t>
            </w:r>
          </w:p>
          <w:p>
            <w:pPr>
              <w:spacing w:before="0" w:after="0" w:line="259" w:lineRule="auto"/>
              <w:ind w:left="29" w:firstLine="0"/>
              <w:jc w:val="left"/>
            </w:pPr>
            <w:r>
              <w:rPr>
                <w:rFonts w:cs="Times New Roman" w:hAnsi="Times New Roman" w:eastAsia="Times New Roman" w:ascii="Times New Roman"/>
                <w:b w:val="1"/>
                <w:sz w:val="18"/>
              </w:rPr>
              <w:t xml:space="preserve">Baseline</w:t>
            </w:r>
            <w:r>
              <w:rPr>
                <w:sz w:val="18"/>
              </w:rPr>
              <w:t xml:space="preserve"> </w:t>
            </w:r>
            <w:r>
              <w:rPr>
                <w:sz w:val="18"/>
              </w:rPr>
              <w:t xml:space="preserve">: 0 </w:t>
            </w:r>
            <w:r>
              <w:rPr>
                <w:sz w:val="18"/>
              </w:rPr>
              <w:t xml:space="preserve"> </w:t>
            </w:r>
          </w:p>
          <w:p>
            <w:pPr>
              <w:spacing w:before="0" w:after="0" w:line="238" w:lineRule="auto"/>
              <w:ind w:left="29" w:firstLine="0"/>
              <w:jc w:val="left"/>
            </w:pPr>
            <w:r>
              <w:rPr>
                <w:rFonts w:cs="Times New Roman" w:hAnsi="Times New Roman" w:eastAsia="Times New Roman" w:ascii="Times New Roman"/>
                <w:b w:val="1"/>
                <w:sz w:val="18"/>
              </w:rPr>
              <w:t xml:space="preserve">Cible</w:t>
            </w:r>
            <w:r>
              <w:rPr>
                <w:sz w:val="18"/>
              </w:rPr>
              <w:t xml:space="preserve">: 10</w:t>
            </w:r>
            <w:r>
              <w:rPr>
                <w:sz w:val="18"/>
              </w:rPr>
              <w:t xml:space="preserve"> </w:t>
            </w:r>
            <w:r>
              <w:rPr>
                <w:sz w:val="18"/>
              </w:rPr>
              <w:t xml:space="preserve">000 personnes dont 50% de femmes au moins (2000 </w:t>
            </w:r>
          </w:p>
          <w:p>
            <w:pPr>
              <w:spacing w:before="0" w:after="0" w:line="259" w:lineRule="auto"/>
              <w:ind w:left="29" w:firstLine="0"/>
              <w:jc w:val="left"/>
            </w:pPr>
            <w:r>
              <w:rPr>
                <w:sz w:val="18"/>
              </w:rPr>
              <w:t xml:space="preserve">personnes/projet)</w:t>
            </w:r>
            <w:r>
              <w:rPr>
                <w:sz w:val="18"/>
              </w:rPr>
              <w:t xml:space="preserve"> </w:t>
            </w:r>
          </w:p>
          <w:p>
            <w:pPr>
              <w:spacing w:before="0" w:after="0" w:line="259" w:lineRule="auto"/>
              <w:ind w:left="29" w:firstLine="0"/>
              <w:jc w:val="left"/>
            </w:pPr>
            <w:r>
              <w:rPr>
                <w:sz w:val="18"/>
              </w:rPr>
              <w:t xml:space="preserve">  </w:t>
            </w:r>
          </w:p>
        </w:tc>
        <w:tc>
          <w:tcPr>
            <w:tcW w:w="211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28" w:firstLine="0"/>
              <w:jc w:val="left"/>
            </w:pPr>
            <w:r>
              <w:rPr>
                <w:sz w:val="20"/>
              </w:rPr>
              <w:t xml:space="preserve"> </w:t>
            </w: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383" w:right="58" w:hanging="360"/>
              <w:jc w:val="left"/>
            </w:pPr>
            <w:r>
              <w:rPr>
                <w:sz w:val="18"/>
              </w:rPr>
              <w:t xml:space="preserve">1.19</w:t>
            </w:r>
            <w:r>
              <w:rPr>
                <w:rFonts w:cs="Arial" w:hAnsi="Arial" w:eastAsia="Arial" w:ascii="Arial"/>
                <w:sz w:val="18"/>
              </w:rPr>
              <w:t xml:space="preserve"> </w:t>
            </w:r>
            <w:r>
              <w:rPr>
                <w:sz w:val="18"/>
              </w:rPr>
              <w:t xml:space="preserve">Appui à l‟adaptation des mécanismes de financement du  développement local aux besoins de réponse aux changements climatiques</w:t>
            </w: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47" w:firstLine="0"/>
              <w:jc w:val="left"/>
            </w:pPr>
            <w:r>
              <w:rPr>
                <w:sz w:val="18"/>
              </w:rPr>
              <w:t xml:space="preserve">SP/CONEDD</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107" w:firstLine="0"/>
              <w:jc w:val="right"/>
            </w:pPr>
            <w:r>
              <w:rPr>
                <w:rFonts w:cs="Arial" w:hAnsi="Arial" w:eastAsia="Arial" w:ascii="Arial"/>
                <w:sz w:val="16"/>
              </w:rPr>
              <w:t xml:space="preserve">100 000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42" w:firstLine="0"/>
              <w:jc w:val="center"/>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41" w:firstLine="0"/>
              <w:jc w:val="center"/>
            </w:pPr>
            <w:r>
              <w:rPr>
                <w:rFonts w:cs="Arial" w:hAnsi="Arial" w:eastAsia="Arial" w:ascii="Arial"/>
                <w:sz w:val="16"/>
              </w:rPr>
              <w:t xml:space="preserve"> </w:t>
            </w:r>
          </w:p>
        </w:tc>
      </w:tr>
      <w:tr>
        <w:trPr>
          <w:trHeight w:val="114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383" w:right="30" w:hanging="360"/>
              <w:jc w:val="left"/>
            </w:pPr>
            <w:r>
              <w:rPr>
                <w:sz w:val="18"/>
              </w:rPr>
              <w:t xml:space="preserve">1.20</w:t>
            </w:r>
            <w:r>
              <w:rPr>
                <w:rFonts w:cs="Arial" w:hAnsi="Arial" w:eastAsia="Arial" w:ascii="Arial"/>
                <w:sz w:val="18"/>
              </w:rPr>
              <w:t xml:space="preserve"> </w:t>
            </w:r>
            <w:r>
              <w:rPr>
                <w:sz w:val="18"/>
              </w:rPr>
              <w:t xml:space="preserve">Renforcement des capacités des acteurs des collectivités à mobiliser les ressources financières (fonds adaptation, secteur privé, etc)</w:t>
            </w: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47" w:firstLine="0"/>
              <w:jc w:val="left"/>
            </w:pPr>
            <w:r>
              <w:rPr>
                <w:sz w:val="18"/>
              </w:rPr>
              <w:t xml:space="preserve">SP/CONEDD</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107" w:firstLine="0"/>
              <w:jc w:val="right"/>
            </w:pPr>
            <w:r>
              <w:rPr>
                <w:rFonts w:cs="Arial" w:hAnsi="Arial" w:eastAsia="Arial" w:ascii="Arial"/>
                <w:sz w:val="16"/>
              </w:rPr>
              <w:t xml:space="preserve">100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42" w:firstLine="0"/>
              <w:jc w:val="center"/>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77" w:firstLine="0"/>
              <w:jc w:val="center"/>
            </w:pPr>
            <w:r>
              <w:rPr>
                <w:rFonts w:cs="Arial" w:hAnsi="Arial" w:eastAsia="Arial" w:ascii="Arial"/>
                <w:sz w:val="16"/>
              </w:rPr>
              <w:t xml:space="preserve">200 000</w:t>
            </w:r>
            <w:r>
              <w:rPr>
                <w:rFonts w:cs="Arial" w:hAnsi="Arial" w:eastAsia="Arial" w:ascii="Arial"/>
                <w:sz w:val="16"/>
              </w:rPr>
              <w:t xml:space="preserve"> </w:t>
            </w:r>
          </w:p>
        </w:tc>
      </w:tr>
      <w:tr>
        <w:trPr>
          <w:trHeight w:val="11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383" w:right="633" w:hanging="360"/>
            </w:pPr>
            <w:r>
              <w:rPr>
                <w:sz w:val="18"/>
              </w:rPr>
              <w:t xml:space="preserve">1.21</w:t>
            </w:r>
            <w:r>
              <w:rPr>
                <w:rFonts w:cs="Arial" w:hAnsi="Arial" w:eastAsia="Arial" w:ascii="Arial"/>
                <w:sz w:val="18"/>
              </w:rPr>
              <w:t xml:space="preserve"> </w:t>
            </w:r>
            <w:r>
              <w:rPr>
                <w:sz w:val="18"/>
              </w:rPr>
              <w:t xml:space="preserve">Appui à l‟élaboration de projets (approche territoriale du Climat</w:t>
            </w:r>
            <w:r>
              <w:rPr>
                <w:sz w:val="18"/>
              </w:rPr>
              <w:t xml:space="preserve">, </w:t>
            </w:r>
            <w:r>
              <w:rPr>
                <w:sz w:val="18"/>
              </w:rPr>
              <w:t xml:space="preserve">technologies appropriées</w:t>
            </w:r>
            <w:r>
              <w:rPr>
                <w:sz w:val="18"/>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47" w:firstLine="0"/>
              <w:jc w:val="left"/>
            </w:pPr>
            <w:r>
              <w:rPr>
                <w:rFonts w:cs="Arial" w:hAnsi="Arial" w:eastAsia="Arial" w:ascii="Arial"/>
                <w:sz w:val="16"/>
              </w:rPr>
              <w:t xml:space="preserve">Collectivités Territoriales</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107" w:firstLine="0"/>
              <w:jc w:val="right"/>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83"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77" w:firstLine="0"/>
              <w:jc w:val="center"/>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701"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11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28" w:firstLine="0"/>
              <w:jc w:val="left"/>
            </w:pPr>
            <w:r>
              <w:rPr>
                <w:sz w:val="20"/>
              </w:rPr>
              <w:t xml:space="preserve"> </w:t>
            </w:r>
          </w:p>
        </w:tc>
        <w:tc>
          <w:tcPr>
            <w:tcW w:w="3447" w:type="dxa"/>
            <w:tcBorders>
              <w:top w:val="single" w:sz="4" w:color="000000"/>
              <w:left w:val="single" w:sz="4" w:color="000000"/>
              <w:bottom w:val="single" w:sz="4" w:color="000000"/>
              <w:right w:val="single" w:sz="4" w:color="000000"/>
            </w:tcBorders>
            <w:vAlign w:val="top"/>
          </w:tcPr>
          <w:p>
            <w:pPr>
              <w:spacing w:before="0" w:after="18" w:line="259" w:lineRule="auto"/>
              <w:ind w:left="23" w:firstLine="0"/>
              <w:jc w:val="left"/>
            </w:pPr>
            <w:r>
              <w:rPr>
                <w:sz w:val="20"/>
              </w:rPr>
              <w:t xml:space="preserve"> </w:t>
            </w:r>
          </w:p>
          <w:p>
            <w:pPr>
              <w:spacing w:before="0" w:after="0" w:line="259" w:lineRule="auto"/>
              <w:ind w:left="0" w:right="126" w:firstLine="0"/>
              <w:jc w:val="right"/>
            </w:pPr>
            <w:r>
              <w:rPr>
                <w:sz w:val="20"/>
              </w:rPr>
              <w:t xml:space="preserve">1.22</w:t>
            </w:r>
            <w:r>
              <w:rPr>
                <w:rFonts w:cs="Arial" w:hAnsi="Arial" w:eastAsia="Arial" w:ascii="Arial"/>
                <w:sz w:val="20"/>
              </w:rPr>
              <w:t xml:space="preserve"> </w:t>
            </w:r>
            <w:r>
              <w:rPr>
                <w:sz w:val="20"/>
              </w:rPr>
              <w:t xml:space="preserve">Appui à la mise en œuvre des plans locaux de développement</w:t>
            </w:r>
            <w:r>
              <w:rPr>
                <w:sz w:val="20"/>
              </w:rPr>
              <w:t xml:space="preserve"> </w:t>
            </w:r>
            <w:r>
              <w:rPr>
                <w:sz w:val="20"/>
              </w:rPr>
              <w:t xml:space="preserve">et projets</w:t>
            </w:r>
            <w:r>
              <w:rPr>
                <w:sz w:val="20"/>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47" w:firstLine="0"/>
              <w:jc w:val="left"/>
            </w:pPr>
            <w:r>
              <w:rPr>
                <w:rFonts w:cs="Arial" w:hAnsi="Arial" w:eastAsia="Arial" w:ascii="Arial"/>
                <w:sz w:val="16"/>
              </w:rPr>
              <w:t xml:space="preserve">Collectivités Territoriales</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107" w:firstLine="0"/>
              <w:jc w:val="right"/>
            </w:pPr>
            <w:r>
              <w:rPr>
                <w:rFonts w:cs="Arial" w:hAnsi="Arial" w:eastAsia="Arial" w:ascii="Arial"/>
                <w:sz w:val="16"/>
              </w:rPr>
              <w:t xml:space="preserve">700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80" w:firstLine="0"/>
              <w:jc w:val="center"/>
            </w:pPr>
            <w:r>
              <w:rPr>
                <w:rFonts w:cs="Arial" w:hAnsi="Arial" w:eastAsia="Arial" w:ascii="Arial"/>
                <w:sz w:val="16"/>
              </w:rPr>
              <w:t xml:space="preserve">GoBF</w:t>
            </w:r>
            <w:r>
              <w:rPr>
                <w:rFonts w:cs="Arial" w:hAnsi="Arial" w:eastAsia="Arial" w:ascii="Arial"/>
                <w:sz w:val="16"/>
              </w:rPr>
              <w:t xml:space="preserve"> </w:t>
            </w:r>
          </w:p>
          <w:p>
            <w:pPr>
              <w:spacing w:before="0" w:after="0" w:line="259" w:lineRule="auto"/>
              <w:ind w:left="0" w:right="83" w:firstLine="0"/>
              <w:jc w:val="center"/>
            </w:pPr>
            <w:r>
              <w:rPr>
                <w:rFonts w:cs="Calibri" w:hAnsi="Calibri" w:eastAsia="Calibri" w:ascii="Calibri"/>
                <w:sz w:val="22"/>
              </w:rPr>
              <w:drawing>
                <wp:anchor simplePos="0" relativeHeight="0" locked="0" layoutInCell="1" allowOverlap="1" behindDoc="1">
                  <wp:simplePos x="0" y="0"/>
                  <wp:positionH relativeFrom="column">
                    <wp:posOffset>50330</wp:posOffset>
                  </wp:positionH>
                  <wp:positionV relativeFrom="paragraph">
                    <wp:posOffset>-120721</wp:posOffset>
                  </wp:positionV>
                  <wp:extent cx="460248" cy="207264"/>
                  <wp:wrapNone/>
                  <wp:docPr id="144538" name="Group 144538"/>
                  <wp:cNvGraphicFramePr/>
                  <a:graphic>
                    <a:graphicData uri="http://schemas.microsoft.com/office/word/2010/wordprocessingGroup">
                      <wpg:wgp>
                        <wpg:cNvGrpSpPr/>
                        <wpg:grpSpPr>
                          <a:xfrm>
                            <a:off x="0" y="0"/>
                            <a:ext cx="460248" cy="207264"/>
                            <a:chOff x="0" y="0"/>
                            <a:chExt cx="460248" cy="207264"/>
                          </a:xfrm>
                        </wpg:grpSpPr>
                        <wps:wsp>
                          <wps:cNvPr id="187321" name="Shape 187321"/>
                          <wps:cNvSpPr/>
                          <wps:spPr>
                            <a:xfrm>
                              <a:off x="0" y="3048"/>
                              <a:ext cx="460248" cy="117348"/>
                            </a:xfrm>
                            <a:custGeom>
                              <a:pathLst>
                                <a:path w="460248" h="117348">
                                  <a:moveTo>
                                    <a:pt x="0" y="0"/>
                                  </a:moveTo>
                                  <a:lnTo>
                                    <a:pt x="460248" y="0"/>
                                  </a:lnTo>
                                  <a:lnTo>
                                    <a:pt x="460248" y="117348"/>
                                  </a:lnTo>
                                  <a:lnTo>
                                    <a:pt x="0" y="117348"/>
                                  </a:lnTo>
                                  <a:lnTo>
                                    <a:pt x="0" y="0"/>
                                  </a:lnTo>
                                </a:path>
                              </a:pathLst>
                            </a:custGeom>
                            <a:ln w="0" cap="flat">
                              <a:miter lim="127000"/>
                            </a:ln>
                          </wps:spPr>
                          <wps:style>
                            <a:lnRef idx="0">
                              <a:srgbClr val="000000">
                                <a:alpha val="0"/>
                              </a:srgbClr>
                            </a:lnRef>
                            <a:fillRef idx="1">
                              <a:srgbClr val="ffff00"/>
                            </a:fillRef>
                            <a:effectRef idx="0"/>
                            <a:fontRef idx="none"/>
                          </wps:style>
                          <wps:bodyPr/>
                        </wps:wsp>
                        <wps:wsp>
                          <wps:cNvPr id="187322" name="Shape 187322"/>
                          <wps:cNvSpPr/>
                          <wps:spPr>
                            <a:xfrm>
                              <a:off x="120397" y="0"/>
                              <a:ext cx="217932" cy="118872"/>
                            </a:xfrm>
                            <a:custGeom>
                              <a:pathLst>
                                <a:path w="217932" h="118872">
                                  <a:moveTo>
                                    <a:pt x="0" y="0"/>
                                  </a:moveTo>
                                  <a:lnTo>
                                    <a:pt x="217932" y="0"/>
                                  </a:lnTo>
                                  <a:lnTo>
                                    <a:pt x="217932" y="118872"/>
                                  </a:lnTo>
                                  <a:lnTo>
                                    <a:pt x="0" y="118872"/>
                                  </a:lnTo>
                                  <a:lnTo>
                                    <a:pt x="0" y="0"/>
                                  </a:lnTo>
                                </a:path>
                              </a:pathLst>
                            </a:custGeom>
                            <a:ln w="0" cap="flat">
                              <a:miter lim="127000"/>
                            </a:ln>
                          </wps:spPr>
                          <wps:style>
                            <a:lnRef idx="0">
                              <a:srgbClr val="000000">
                                <a:alpha val="0"/>
                              </a:srgbClr>
                            </a:lnRef>
                            <a:fillRef idx="1">
                              <a:srgbClr val="ffffff"/>
                            </a:fillRef>
                            <a:effectRef idx="0"/>
                            <a:fontRef idx="none"/>
                          </wps:style>
                          <wps:bodyPr/>
                        </wps:wsp>
                        <wps:wsp>
                          <wps:cNvPr id="187323" name="Shape 187323"/>
                          <wps:cNvSpPr/>
                          <wps:spPr>
                            <a:xfrm>
                              <a:off x="18288" y="120396"/>
                              <a:ext cx="423672" cy="86868"/>
                            </a:xfrm>
                            <a:custGeom>
                              <a:pathLst>
                                <a:path w="423672" h="86868">
                                  <a:moveTo>
                                    <a:pt x="0" y="0"/>
                                  </a:moveTo>
                                  <a:lnTo>
                                    <a:pt x="423672" y="0"/>
                                  </a:lnTo>
                                  <a:lnTo>
                                    <a:pt x="423672" y="86868"/>
                                  </a:lnTo>
                                  <a:lnTo>
                                    <a:pt x="0" y="86868"/>
                                  </a:lnTo>
                                  <a:lnTo>
                                    <a:pt x="0" y="0"/>
                                  </a:lnTo>
                                </a:path>
                              </a:pathLst>
                            </a:custGeom>
                            <a:ln w="0" cap="flat">
                              <a:miter lim="127000"/>
                            </a:ln>
                          </wps:spPr>
                          <wps:style>
                            <a:lnRef idx="0">
                              <a:srgbClr val="000000">
                                <a:alpha val="0"/>
                              </a:srgbClr>
                            </a:lnRef>
                            <a:fillRef idx="1">
                              <a:srgbClr val="ffffff"/>
                            </a:fillRef>
                            <a:effectRef idx="0"/>
                            <a:fontRef idx="none"/>
                          </wps:style>
                          <wps:bodyPr/>
                        </wps:wsp>
                        <wps:wsp>
                          <wps:cNvPr id="187324" name="Shape 187324"/>
                          <wps:cNvSpPr/>
                          <wps:spPr>
                            <a:xfrm>
                              <a:off x="32004" y="117348"/>
                              <a:ext cx="396240" cy="89916"/>
                            </a:xfrm>
                            <a:custGeom>
                              <a:pathLst>
                                <a:path w="396240" h="89916">
                                  <a:moveTo>
                                    <a:pt x="0" y="0"/>
                                  </a:moveTo>
                                  <a:lnTo>
                                    <a:pt x="396240" y="0"/>
                                  </a:lnTo>
                                  <a:lnTo>
                                    <a:pt x="396240" y="89916"/>
                                  </a:lnTo>
                                  <a:lnTo>
                                    <a:pt x="0" y="89916"/>
                                  </a:lnTo>
                                  <a:lnTo>
                                    <a:pt x="0" y="0"/>
                                  </a:lnTo>
                                </a:path>
                              </a:pathLst>
                            </a:custGeom>
                            <a:ln w="0" cap="flat">
                              <a:miter lim="127000"/>
                            </a:ln>
                          </wps:spPr>
                          <wps:style>
                            <a:lnRef idx="0">
                              <a:srgbClr val="000000">
                                <a:alpha val="0"/>
                              </a:srgbClr>
                            </a:lnRef>
                            <a:fillRef idx="1">
                              <a:srgbClr val="ffffff"/>
                            </a:fillRef>
                            <a:effectRef idx="0"/>
                            <a:fontRef idx="none"/>
                          </wps:style>
                          <wps:bodyPr/>
                        </wps:wsp>
                      </wpg:wgp>
                    </a:graphicData>
                  </a:graphic>
                </wp:anchor>
              </w:drawing>
            </w: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77" w:firstLine="0"/>
              <w:jc w:val="center"/>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p>
            <w:pPr>
              <w:spacing w:before="0" w:after="0" w:line="259" w:lineRule="auto"/>
              <w:ind w:left="0" w:right="77" w:firstLine="0"/>
              <w:jc w:val="center"/>
            </w:pPr>
            <w:r>
              <w:rPr>
                <w:rFonts w:cs="Calibri" w:hAnsi="Calibri" w:eastAsia="Calibri" w:ascii="Calibri"/>
                <w:sz w:val="22"/>
              </w:rPr>
              <w:drawing>
                <wp:anchor simplePos="0" relativeHeight="0" locked="0" layoutInCell="1" allowOverlap="1" behindDoc="1">
                  <wp:simplePos x="0" y="0"/>
                  <wp:positionH relativeFrom="column">
                    <wp:posOffset>50292</wp:posOffset>
                  </wp:positionH>
                  <wp:positionV relativeFrom="paragraph">
                    <wp:posOffset>-137498</wp:posOffset>
                  </wp:positionV>
                  <wp:extent cx="438912" cy="234696"/>
                  <wp:wrapNone/>
                  <wp:docPr id="144758" name="Group 144758"/>
                  <wp:cNvGraphicFramePr/>
                  <a:graphic>
                    <a:graphicData uri="http://schemas.microsoft.com/office/word/2010/wordprocessingGroup">
                      <wpg:wgp>
                        <wpg:cNvGrpSpPr/>
                        <wpg:grpSpPr>
                          <a:xfrm>
                            <a:off x="0" y="0"/>
                            <a:ext cx="438912" cy="234696"/>
                            <a:chOff x="0" y="0"/>
                            <a:chExt cx="438912" cy="234696"/>
                          </a:xfrm>
                        </wpg:grpSpPr>
                        <wps:wsp>
                          <wps:cNvPr id="187325" name="Shape 187325"/>
                          <wps:cNvSpPr/>
                          <wps:spPr>
                            <a:xfrm>
                              <a:off x="0" y="3048"/>
                              <a:ext cx="438912" cy="115824"/>
                            </a:xfrm>
                            <a:custGeom>
                              <a:pathLst>
                                <a:path w="438912" h="115824">
                                  <a:moveTo>
                                    <a:pt x="0" y="0"/>
                                  </a:moveTo>
                                  <a:lnTo>
                                    <a:pt x="438912" y="0"/>
                                  </a:lnTo>
                                  <a:lnTo>
                                    <a:pt x="438912" y="115824"/>
                                  </a:lnTo>
                                  <a:lnTo>
                                    <a:pt x="0" y="115824"/>
                                  </a:lnTo>
                                  <a:lnTo>
                                    <a:pt x="0" y="0"/>
                                  </a:lnTo>
                                </a:path>
                              </a:pathLst>
                            </a:custGeom>
                            <a:ln w="0" cap="flat">
                              <a:miter lim="127000"/>
                            </a:ln>
                          </wps:spPr>
                          <wps:style>
                            <a:lnRef idx="0">
                              <a:srgbClr val="000000">
                                <a:alpha val="0"/>
                              </a:srgbClr>
                            </a:lnRef>
                            <a:fillRef idx="1">
                              <a:srgbClr val="ffff00"/>
                            </a:fillRef>
                            <a:effectRef idx="0"/>
                            <a:fontRef idx="none"/>
                          </wps:style>
                          <wps:bodyPr/>
                        </wps:wsp>
                        <wps:wsp>
                          <wps:cNvPr id="187326" name="Shape 187326"/>
                          <wps:cNvSpPr/>
                          <wps:spPr>
                            <a:xfrm>
                              <a:off x="68580" y="0"/>
                              <a:ext cx="301752" cy="118872"/>
                            </a:xfrm>
                            <a:custGeom>
                              <a:pathLst>
                                <a:path w="301752" h="118872">
                                  <a:moveTo>
                                    <a:pt x="0" y="0"/>
                                  </a:moveTo>
                                  <a:lnTo>
                                    <a:pt x="301752" y="0"/>
                                  </a:lnTo>
                                  <a:lnTo>
                                    <a:pt x="301752" y="118872"/>
                                  </a:lnTo>
                                  <a:lnTo>
                                    <a:pt x="0" y="118872"/>
                                  </a:lnTo>
                                  <a:lnTo>
                                    <a:pt x="0" y="0"/>
                                  </a:lnTo>
                                </a:path>
                              </a:pathLst>
                            </a:custGeom>
                            <a:ln w="0" cap="flat">
                              <a:miter lim="127000"/>
                            </a:ln>
                          </wps:spPr>
                          <wps:style>
                            <a:lnRef idx="0">
                              <a:srgbClr val="000000">
                                <a:alpha val="0"/>
                              </a:srgbClr>
                            </a:lnRef>
                            <a:fillRef idx="1">
                              <a:srgbClr val="ffffff"/>
                            </a:fillRef>
                            <a:effectRef idx="0"/>
                            <a:fontRef idx="none"/>
                          </wps:style>
                          <wps:bodyPr/>
                        </wps:wsp>
                        <wps:wsp>
                          <wps:cNvPr id="187327" name="Shape 187327"/>
                          <wps:cNvSpPr/>
                          <wps:spPr>
                            <a:xfrm>
                              <a:off x="45720" y="115824"/>
                              <a:ext cx="347472" cy="118872"/>
                            </a:xfrm>
                            <a:custGeom>
                              <a:pathLst>
                                <a:path w="347472" h="118872">
                                  <a:moveTo>
                                    <a:pt x="0" y="0"/>
                                  </a:moveTo>
                                  <a:lnTo>
                                    <a:pt x="347472" y="0"/>
                                  </a:lnTo>
                                  <a:lnTo>
                                    <a:pt x="347472" y="118872"/>
                                  </a:lnTo>
                                  <a:lnTo>
                                    <a:pt x="0" y="118872"/>
                                  </a:lnTo>
                                  <a:lnTo>
                                    <a:pt x="0" y="0"/>
                                  </a:lnTo>
                                </a:path>
                              </a:pathLst>
                            </a:custGeom>
                            <a:ln w="0" cap="flat">
                              <a:miter lim="127000"/>
                            </a:ln>
                          </wps:spPr>
                          <wps:style>
                            <a:lnRef idx="0">
                              <a:srgbClr val="000000">
                                <a:alpha val="0"/>
                              </a:srgbClr>
                            </a:lnRef>
                            <a:fillRef idx="1">
                              <a:srgbClr val="ffffff"/>
                            </a:fillRef>
                            <a:effectRef idx="0"/>
                            <a:fontRef idx="none"/>
                          </wps:style>
                          <wps:bodyPr/>
                        </wps:wsp>
                      </wpg:wgp>
                    </a:graphicData>
                  </a:graphic>
                </wp:anchor>
              </w:drawing>
            </w:r>
            <w:r>
              <w:rPr>
                <w:rFonts w:cs="Arial" w:hAnsi="Arial" w:eastAsia="Arial" w:ascii="Arial"/>
                <w:sz w:val="16"/>
              </w:rPr>
              <w:t xml:space="preserve">1000 000</w:t>
            </w:r>
            <w:r>
              <w:rPr>
                <w:rFonts w:cs="Arial" w:hAnsi="Arial" w:eastAsia="Arial" w:ascii="Arial"/>
                <w:sz w:val="16"/>
              </w:rPr>
              <w:t xml:space="preserve"> </w:t>
            </w:r>
          </w:p>
        </w:tc>
      </w:tr>
      <w:tr>
        <w:trPr>
          <w:trHeight w:val="701"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38" w:line="240" w:lineRule="auto"/>
              <w:ind w:left="383" w:hanging="360"/>
            </w:pPr>
            <w:r>
              <w:rPr>
                <w:sz w:val="20"/>
              </w:rPr>
              <w:t xml:space="preserve">1.23</w:t>
            </w:r>
            <w:r>
              <w:rPr>
                <w:rFonts w:cs="Arial" w:hAnsi="Arial" w:eastAsia="Arial" w:ascii="Arial"/>
                <w:sz w:val="20"/>
              </w:rPr>
              <w:t xml:space="preserve"> </w:t>
            </w:r>
            <w:r>
              <w:rPr>
                <w:sz w:val="20"/>
              </w:rPr>
              <w:t xml:space="preserve">Appui aux initiatives communautaires (initiative </w:t>
            </w:r>
          </w:p>
          <w:p>
            <w:pPr>
              <w:spacing w:before="0" w:after="0" w:line="259" w:lineRule="auto"/>
              <w:ind w:left="383" w:firstLine="0"/>
              <w:jc w:val="left"/>
            </w:pPr>
            <w:r>
              <w:rPr>
                <w:sz w:val="20"/>
              </w:rPr>
              <w:t xml:space="preserve">Grand‟mère Solaire)</w:t>
            </w:r>
            <w:r>
              <w:rPr>
                <w:sz w:val="20"/>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47" w:firstLine="0"/>
              <w:jc w:val="left"/>
            </w:pPr>
            <w:r>
              <w:rPr>
                <w:sz w:val="18"/>
              </w:rPr>
              <w:t xml:space="preserve">FEM/ONG</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107" w:firstLine="0"/>
              <w:jc w:val="right"/>
            </w:pPr>
            <w:r>
              <w:rPr>
                <w:rFonts w:cs="Arial" w:hAnsi="Arial" w:eastAsia="Arial" w:ascii="Arial"/>
                <w:sz w:val="16"/>
              </w:rPr>
              <w:t xml:space="preserve">150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83"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77" w:firstLine="0"/>
              <w:jc w:val="center"/>
            </w:pPr>
            <w:r>
              <w:rPr>
                <w:rFonts w:cs="Arial" w:hAnsi="Arial" w:eastAsia="Arial" w:ascii="Arial"/>
                <w:sz w:val="16"/>
              </w:rPr>
              <w:t xml:space="preserve">300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134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47" w:type="dxa"/>
            <w:tcBorders>
              <w:top w:val="single" w:sz="4" w:color="000000"/>
              <w:left w:val="single" w:sz="4" w:color="000000"/>
              <w:bottom w:val="single" w:sz="4" w:color="000000"/>
              <w:right w:val="single" w:sz="4" w:color="000000"/>
            </w:tcBorders>
            <w:vAlign w:val="top"/>
          </w:tcPr>
          <w:p>
            <w:pPr>
              <w:spacing w:before="0" w:after="0" w:line="259" w:lineRule="auto"/>
              <w:ind w:left="23" w:firstLine="0"/>
              <w:jc w:val="left"/>
            </w:pPr>
            <w:r>
              <w:rPr>
                <w:sz w:val="20"/>
              </w:rPr>
              <w:t xml:space="preserve">1.24</w:t>
            </w:r>
            <w:r>
              <w:rPr>
                <w:rFonts w:cs="Arial" w:hAnsi="Arial" w:eastAsia="Arial" w:ascii="Arial"/>
                <w:sz w:val="20"/>
              </w:rPr>
              <w:t xml:space="preserve"> </w:t>
            </w:r>
            <w:r>
              <w:rPr>
                <w:sz w:val="20"/>
              </w:rPr>
              <w:t xml:space="preserve">Appui aux initiatives de promotion </w:t>
            </w:r>
          </w:p>
          <w:p>
            <w:pPr>
              <w:spacing w:before="0" w:after="0" w:line="259" w:lineRule="auto"/>
              <w:ind w:left="383" w:firstLine="0"/>
              <w:jc w:val="left"/>
            </w:pPr>
            <w:r>
              <w:rPr>
                <w:sz w:val="20"/>
              </w:rPr>
              <w:t xml:space="preserve">de l‟énergie alternative (PTFM vertes)</w:t>
            </w:r>
            <w:r>
              <w:rPr>
                <w:sz w:val="20"/>
              </w:rPr>
              <w:t xml:space="preserve"> </w:t>
            </w:r>
          </w:p>
        </w:tc>
        <w:tc>
          <w:tcPr>
            <w:tcW w:w="1513" w:type="dxa"/>
            <w:tcBorders>
              <w:top w:val="single" w:sz="4" w:color="000000"/>
              <w:left w:val="single" w:sz="4" w:color="000000"/>
              <w:bottom w:val="single" w:sz="4" w:color="000000"/>
              <w:right w:val="single" w:sz="4" w:color="000000"/>
            </w:tcBorders>
            <w:vAlign w:val="top"/>
          </w:tcPr>
          <w:p>
            <w:pPr>
              <w:spacing w:before="0" w:after="0" w:line="259" w:lineRule="auto"/>
              <w:ind w:left="47" w:firstLine="0"/>
              <w:jc w:val="left"/>
            </w:pPr>
            <w:r>
              <w:rPr>
                <w:sz w:val="18"/>
              </w:rPr>
              <w:t xml:space="preserve">PN/PTFM</w:t>
            </w:r>
            <w:r>
              <w:rPr>
                <w:sz w:val="18"/>
              </w:rPr>
              <w:t xml:space="preserve"> </w:t>
            </w:r>
          </w:p>
        </w:tc>
        <w:tc>
          <w:tcPr>
            <w:tcW w:w="1147" w:type="dxa"/>
            <w:tcBorders>
              <w:top w:val="single" w:sz="4" w:color="000000"/>
              <w:left w:val="single" w:sz="4" w:color="000000"/>
              <w:bottom w:val="single" w:sz="4" w:color="000000"/>
              <w:right w:val="single" w:sz="4" w:color="000000"/>
            </w:tcBorders>
            <w:vAlign w:val="center"/>
          </w:tcPr>
          <w:p>
            <w:pPr>
              <w:spacing w:before="0" w:after="0" w:line="259" w:lineRule="auto"/>
              <w:ind w:left="0" w:right="107" w:firstLine="0"/>
              <w:jc w:val="right"/>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center"/>
          </w:tcPr>
          <w:p>
            <w:pPr>
              <w:spacing w:before="0" w:after="0" w:line="259" w:lineRule="auto"/>
              <w:ind w:left="0" w:right="83"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center"/>
          </w:tcPr>
          <w:p>
            <w:pPr>
              <w:spacing w:before="0" w:after="0" w:line="259" w:lineRule="auto"/>
              <w:ind w:left="0" w:right="79" w:firstLine="0"/>
              <w:jc w:val="center"/>
            </w:pPr>
            <w:r>
              <w:rPr>
                <w:rFonts w:cs="Arial" w:hAnsi="Arial" w:eastAsia="Arial" w:ascii="Arial"/>
                <w:sz w:val="16"/>
              </w:rPr>
              <w:t xml:space="preserve">50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215" w:hRule="atLeast"/>
        </w:trPr>
        <w:tc>
          <w:tcPr>
            <w:tcW w:w="2268"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sz w:val="18"/>
              </w:rPr>
              <w:t xml:space="preserve"> </w:t>
            </w: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rFonts w:cs="Times New Roman" w:hAnsi="Times New Roman" w:eastAsia="Times New Roman" w:ascii="Times New Roman"/>
                <w:b w:val="1"/>
                <w:sz w:val="18"/>
              </w:rPr>
              <w:t xml:space="preserve">Total produit 4</w:t>
            </w:r>
            <w:r>
              <w:rPr>
                <w:rFonts w:cs="Times New Roman" w:hAnsi="Times New Roman" w:eastAsia="Times New Roman" w:ascii="Times New Roman"/>
                <w:b w:val="1"/>
                <w:sz w:val="18"/>
              </w:rPr>
              <w:t xml:space="preserve"> </w:t>
            </w:r>
          </w:p>
        </w:tc>
        <w:tc>
          <w:tcPr>
            <w:tcW w:w="5562" w:type="dxa"/>
            <w:gridSpan w:val="2"/>
            <w:tcBorders>
              <w:top w:val="single" w:sz="4" w:color="000000"/>
              <w:left w:val="single" w:sz="4" w:color="000000"/>
              <w:bottom w:val="single" w:sz="4" w:color="000000"/>
              <w:right w:val="nil"/>
            </w:tcBorders>
            <w:shd w:val="clear" w:fill="d9d9d9"/>
            <w:vAlign w:val="top"/>
          </w:tcPr>
          <w:p>
            <w:pPr>
              <w:spacing w:before="0" w:after="0" w:line="259" w:lineRule="auto"/>
              <w:ind w:left="28" w:firstLine="0"/>
              <w:jc w:val="left"/>
            </w:pPr>
            <w:r>
              <w:rPr>
                <w:rFonts w:cs="Arial" w:hAnsi="Arial" w:eastAsia="Arial" w:ascii="Arial"/>
                <w:sz w:val="16"/>
              </w:rPr>
              <w:t xml:space="preserve"> </w:t>
            </w:r>
          </w:p>
        </w:tc>
        <w:tc>
          <w:tcPr>
            <w:tcW w:w="1513" w:type="dxa"/>
            <w:tcBorders>
              <w:top w:val="single" w:sz="4" w:color="000000"/>
              <w:left w:val="nil"/>
              <w:bottom w:val="single" w:sz="4" w:color="000000"/>
              <w:right w:val="single" w:sz="4" w:color="000000"/>
            </w:tcBorders>
            <w:shd w:val="clear" w:fill="d9d9d9"/>
            <w:vAlign w:val="top"/>
          </w:tcPr>
          <w:p>
            <w:pPr>
              <w:bidi w:val="0"/>
              <w:spacing w:before="0" w:after="160" w:line="259" w:lineRule="auto"/>
              <w:ind w:left="0" w:right="0" w:firstLine="0"/>
              <w:jc w:val="left"/>
            </w:pPr>
          </w:p>
        </w:tc>
        <w:tc>
          <w:tcPr>
            <w:tcW w:w="1147" w:type="dxa"/>
            <w:tcBorders>
              <w:top w:val="single" w:sz="4" w:color="000000"/>
              <w:left w:val="single" w:sz="4" w:color="000000"/>
              <w:bottom w:val="single" w:sz="4" w:color="000000"/>
              <w:right w:val="single" w:sz="4" w:color="000000"/>
            </w:tcBorders>
            <w:vAlign w:val="top"/>
          </w:tcPr>
          <w:p>
            <w:pPr>
              <w:spacing w:before="0" w:after="0" w:line="259" w:lineRule="auto"/>
              <w:ind w:left="0" w:right="107" w:firstLine="0"/>
              <w:jc w:val="right"/>
            </w:pPr>
            <w:r>
              <w:rPr>
                <w:rFonts w:cs="Arial" w:hAnsi="Arial" w:eastAsia="Arial" w:ascii="Arial"/>
                <w:b w:val="1"/>
                <w:sz w:val="16"/>
              </w:rPr>
              <w:t xml:space="preserve">1</w:t>
            </w:r>
            <w:r>
              <w:rPr>
                <w:rFonts w:cs="Arial" w:hAnsi="Arial" w:eastAsia="Arial" w:ascii="Arial"/>
                <w:b w:val="1"/>
                <w:sz w:val="16"/>
              </w:rPr>
              <w:t xml:space="preserve"> </w:t>
            </w:r>
            <w:r>
              <w:rPr>
                <w:rFonts w:cs="Arial" w:hAnsi="Arial" w:eastAsia="Arial" w:ascii="Arial"/>
                <w:b w:val="1"/>
                <w:sz w:val="16"/>
              </w:rPr>
              <w:t xml:space="preserve">400</w:t>
            </w:r>
            <w:r>
              <w:rPr>
                <w:rFonts w:cs="Arial" w:hAnsi="Arial" w:eastAsia="Arial" w:ascii="Arial"/>
                <w:b w:val="1"/>
                <w:sz w:val="16"/>
              </w:rPr>
              <w:t xml:space="preserve"> </w:t>
            </w:r>
            <w:r>
              <w:rPr>
                <w:rFonts w:cs="Arial" w:hAnsi="Arial" w:eastAsia="Arial" w:ascii="Arial"/>
                <w:b w:val="1"/>
                <w:sz w:val="16"/>
              </w:rPr>
              <w:t xml:space="preserve">000</w:t>
            </w:r>
            <w:r>
              <w:rPr>
                <w:rFonts w:cs="Arial" w:hAnsi="Arial" w:eastAsia="Arial" w:ascii="Arial"/>
                <w:b w:val="1"/>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42" w:firstLine="0"/>
              <w:jc w:val="center"/>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79" w:firstLine="0"/>
              <w:jc w:val="center"/>
            </w:pPr>
            <w:r>
              <w:rPr>
                <w:rFonts w:cs="Arial" w:hAnsi="Arial" w:eastAsia="Arial" w:ascii="Arial"/>
                <w:b w:val="1"/>
                <w:sz w:val="16"/>
              </w:rPr>
              <w:t xml:space="preserve">2 200 000</w:t>
            </w:r>
            <w:r>
              <w:rPr>
                <w:rFonts w:cs="Arial" w:hAnsi="Arial" w:eastAsia="Arial" w:ascii="Arial"/>
                <w:b w:val="1"/>
                <w:sz w:val="16"/>
              </w:rPr>
              <w:t xml:space="preserve"> </w:t>
            </w:r>
          </w:p>
        </w:tc>
      </w:tr>
      <w:tr>
        <w:trPr>
          <w:trHeight w:val="378" w:hRule="atLeast"/>
        </w:trPr>
        <w:tc>
          <w:tcPr>
            <w:tcW w:w="2268"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sz w:val="18"/>
              </w:rPr>
              <w:t xml:space="preserve">Gestion du projet</w:t>
            </w:r>
            <w:r>
              <w:rPr>
                <w:sz w:val="18"/>
              </w:rPr>
              <w:t xml:space="preserve"> </w:t>
            </w: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sz w:val="18"/>
              </w:rPr>
              <w:t xml:space="preserve">Personnel unité de coordination</w:t>
            </w:r>
            <w:r>
              <w:rPr>
                <w:sz w:val="18"/>
              </w:rPr>
              <w:t xml:space="preserve"> </w:t>
            </w:r>
          </w:p>
        </w:tc>
        <w:tc>
          <w:tcPr>
            <w:tcW w:w="211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8" w:firstLine="0"/>
              <w:jc w:val="left"/>
            </w:pPr>
            <w:r>
              <w:rPr>
                <w:rFonts w:cs="Arial" w:hAnsi="Arial" w:eastAsia="Arial" w:ascii="Arial"/>
                <w:sz w:val="16"/>
              </w:rPr>
              <w:t xml:space="preserve"> </w:t>
            </w:r>
          </w:p>
        </w:tc>
        <w:tc>
          <w:tcPr>
            <w:tcW w:w="344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32" w:firstLine="0"/>
              <w:jc w:val="left"/>
            </w:pPr>
            <w:r>
              <w:rPr>
                <w:rFonts w:cs="Arial" w:hAnsi="Arial" w:eastAsia="Arial" w:ascii="Arial"/>
                <w:sz w:val="16"/>
              </w:rPr>
              <w:t xml:space="preserve"> </w:t>
            </w:r>
          </w:p>
        </w:tc>
        <w:tc>
          <w:tcPr>
            <w:tcW w:w="151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3" w:firstLine="0"/>
              <w:jc w:val="left"/>
            </w:pP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bottom"/>
          </w:tcPr>
          <w:p>
            <w:pPr>
              <w:spacing w:before="0" w:after="0" w:line="259" w:lineRule="auto"/>
              <w:ind w:left="0" w:right="109" w:firstLine="0"/>
              <w:jc w:val="right"/>
            </w:pPr>
            <w:r>
              <w:rPr>
                <w:rFonts w:cs="Arial" w:hAnsi="Arial" w:eastAsia="Arial" w:ascii="Arial"/>
                <w:sz w:val="16"/>
              </w:rPr>
              <w:t xml:space="preserve">          </w:t>
            </w:r>
            <w:r>
              <w:rPr>
                <w:rFonts w:cs="Arial" w:hAnsi="Arial" w:eastAsia="Arial" w:ascii="Arial"/>
                <w:sz w:val="16"/>
              </w:rPr>
              <w:t xml:space="preserve">370</w:t>
            </w:r>
            <w:r>
              <w:rPr>
                <w:rFonts w:cs="Arial" w:hAnsi="Arial" w:eastAsia="Arial" w:ascii="Arial"/>
                <w:sz w:val="16"/>
              </w:rPr>
              <w:t xml:space="preserve"> </w:t>
            </w:r>
            <w:r>
              <w:rPr>
                <w:rFonts w:cs="Arial" w:hAnsi="Arial" w:eastAsia="Arial" w:ascii="Arial"/>
                <w:sz w:val="16"/>
              </w:rPr>
              <w:t xml:space="preserve">000 </w:t>
            </w:r>
            <w:r>
              <w:rPr>
                <w:rFonts w:cs="Arial" w:hAnsi="Arial" w:eastAsia="Arial" w:ascii="Arial"/>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80" w:firstLine="0"/>
              <w:jc w:val="center"/>
            </w:pPr>
            <w:r>
              <w:rPr>
                <w:rFonts w:cs="Arial" w:hAnsi="Arial" w:eastAsia="Arial" w:ascii="Arial"/>
                <w:sz w:val="16"/>
              </w:rPr>
              <w:t xml:space="preserve">GoBF</w:t>
            </w:r>
            <w:r>
              <w:rPr>
                <w:rFonts w:cs="Arial" w:hAnsi="Arial" w:eastAsia="Arial" w:ascii="Arial"/>
                <w:sz w:val="16"/>
              </w:rPr>
              <w:t xml:space="preserve"> </w:t>
            </w:r>
          </w:p>
          <w:p>
            <w:pPr>
              <w:spacing w:before="0" w:after="0" w:line="259" w:lineRule="auto"/>
              <w:ind w:left="0" w:right="83"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77" w:firstLine="0"/>
              <w:jc w:val="center"/>
            </w:pPr>
            <w:r>
              <w:rPr>
                <w:rFonts w:cs="Arial" w:hAnsi="Arial" w:eastAsia="Arial" w:ascii="Arial"/>
                <w:sz w:val="16"/>
              </w:rPr>
              <w:t xml:space="preserve">100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p>
            <w:pPr>
              <w:spacing w:before="0" w:after="0" w:line="259" w:lineRule="auto"/>
              <w:ind w:left="0" w:right="77" w:firstLine="0"/>
              <w:jc w:val="center"/>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378"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sz w:val="18"/>
              </w:rPr>
              <w:t xml:space="preserve">Equipement</w:t>
            </w:r>
            <w:r>
              <w:rPr>
                <w:sz w:val="18"/>
              </w:rPr>
              <w:t xml:space="preserve"> </w:t>
            </w:r>
          </w:p>
        </w:tc>
        <w:tc>
          <w:tcPr>
            <w:tcW w:w="211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8" w:firstLine="0"/>
              <w:jc w:val="left"/>
            </w:pPr>
            <w:r>
              <w:rPr>
                <w:rFonts w:cs="Arial" w:hAnsi="Arial" w:eastAsia="Arial" w:ascii="Arial"/>
                <w:sz w:val="16"/>
              </w:rPr>
              <w:t xml:space="preserve"> </w:t>
            </w:r>
          </w:p>
        </w:tc>
        <w:tc>
          <w:tcPr>
            <w:tcW w:w="344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32" w:firstLine="0"/>
              <w:jc w:val="left"/>
            </w:pPr>
            <w:r>
              <w:rPr>
                <w:rFonts w:cs="Arial" w:hAnsi="Arial" w:eastAsia="Arial" w:ascii="Arial"/>
                <w:sz w:val="16"/>
              </w:rPr>
              <w:t xml:space="preserve"> </w:t>
            </w:r>
          </w:p>
        </w:tc>
        <w:tc>
          <w:tcPr>
            <w:tcW w:w="151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3" w:firstLine="0"/>
              <w:jc w:val="left"/>
            </w:pP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bottom"/>
          </w:tcPr>
          <w:p>
            <w:pPr>
              <w:spacing w:before="0" w:after="0" w:line="259" w:lineRule="auto"/>
              <w:ind w:left="0" w:right="109" w:firstLine="0"/>
              <w:jc w:val="right"/>
            </w:pPr>
            <w:r>
              <w:rPr>
                <w:rFonts w:cs="Arial" w:hAnsi="Arial" w:eastAsia="Arial" w:ascii="Arial"/>
                <w:sz w:val="16"/>
              </w:rPr>
              <w:t xml:space="preserve">          </w:t>
            </w:r>
            <w:r>
              <w:rPr>
                <w:rFonts w:cs="Arial" w:hAnsi="Arial" w:eastAsia="Arial" w:ascii="Arial"/>
                <w:sz w:val="16"/>
              </w:rPr>
              <w:t xml:space="preserve">112</w:t>
            </w:r>
            <w:r>
              <w:rPr>
                <w:rFonts w:cs="Arial" w:hAnsi="Arial" w:eastAsia="Arial" w:ascii="Arial"/>
                <w:sz w:val="16"/>
              </w:rPr>
              <w:t xml:space="preserve"> </w:t>
            </w:r>
            <w:r>
              <w:rPr>
                <w:rFonts w:cs="Arial" w:hAnsi="Arial" w:eastAsia="Arial" w:ascii="Arial"/>
                <w:sz w:val="16"/>
              </w:rPr>
              <w:t xml:space="preserve">800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80" w:firstLine="0"/>
              <w:jc w:val="center"/>
            </w:pPr>
            <w:r>
              <w:rPr>
                <w:rFonts w:cs="Arial" w:hAnsi="Arial" w:eastAsia="Arial" w:ascii="Arial"/>
                <w:sz w:val="16"/>
              </w:rPr>
              <w:t xml:space="preserve">GoBF</w:t>
            </w:r>
            <w:r>
              <w:rPr>
                <w:rFonts w:cs="Arial" w:hAnsi="Arial" w:eastAsia="Arial" w:ascii="Arial"/>
                <w:sz w:val="16"/>
              </w:rPr>
              <w:t xml:space="preserve"> </w:t>
            </w:r>
          </w:p>
          <w:p>
            <w:pPr>
              <w:spacing w:before="0" w:after="0" w:line="259" w:lineRule="auto"/>
              <w:ind w:left="0" w:right="83" w:firstLine="0"/>
              <w:jc w:val="center"/>
            </w:pPr>
            <w:r>
              <w:rPr>
                <w:sz w:val="12"/>
              </w:rPr>
              <w:t xml:space="preserve">A rechercher</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77" w:firstLine="0"/>
              <w:jc w:val="center"/>
            </w:pPr>
            <w:r>
              <w:rPr>
                <w:rFonts w:cs="Arial" w:hAnsi="Arial" w:eastAsia="Arial" w:ascii="Arial"/>
                <w:sz w:val="16"/>
              </w:rPr>
              <w:t xml:space="preserve">231</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p>
            <w:pPr>
              <w:spacing w:before="0" w:after="0" w:line="259" w:lineRule="auto"/>
              <w:ind w:left="0" w:right="77" w:firstLine="0"/>
              <w:jc w:val="center"/>
            </w:pPr>
            <w:r>
              <w:rPr>
                <w:rFonts w:cs="Arial" w:hAnsi="Arial" w:eastAsia="Arial" w:ascii="Arial"/>
                <w:sz w:val="16"/>
              </w:rPr>
              <w:t xml:space="preserve">200</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21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sz w:val="18"/>
              </w:rPr>
              <w:t xml:space="preserve">Fonctionnement</w:t>
            </w:r>
            <w:r>
              <w:rPr>
                <w:sz w:val="18"/>
              </w:rPr>
              <w:t xml:space="preserve"> </w:t>
            </w:r>
          </w:p>
        </w:tc>
        <w:tc>
          <w:tcPr>
            <w:tcW w:w="211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8" w:firstLine="0"/>
              <w:jc w:val="left"/>
            </w:pPr>
            <w:r>
              <w:rPr>
                <w:rFonts w:cs="Arial" w:hAnsi="Arial" w:eastAsia="Arial" w:ascii="Arial"/>
                <w:sz w:val="16"/>
              </w:rPr>
              <w:t xml:space="preserve"> </w:t>
            </w:r>
          </w:p>
        </w:tc>
        <w:tc>
          <w:tcPr>
            <w:tcW w:w="344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32" w:firstLine="0"/>
              <w:jc w:val="left"/>
            </w:pPr>
            <w:r>
              <w:rPr>
                <w:rFonts w:cs="Arial" w:hAnsi="Arial" w:eastAsia="Arial" w:ascii="Arial"/>
                <w:sz w:val="16"/>
              </w:rPr>
              <w:t xml:space="preserve"> </w:t>
            </w:r>
          </w:p>
        </w:tc>
        <w:tc>
          <w:tcPr>
            <w:tcW w:w="151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3" w:firstLine="0"/>
              <w:jc w:val="left"/>
            </w:pP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top"/>
          </w:tcPr>
          <w:p>
            <w:pPr>
              <w:spacing w:before="0" w:after="0" w:line="259" w:lineRule="auto"/>
              <w:ind w:left="0" w:right="109" w:firstLine="0"/>
              <w:jc w:val="right"/>
            </w:pPr>
            <w:r>
              <w:rPr>
                <w:rFonts w:cs="Arial" w:hAnsi="Arial" w:eastAsia="Arial" w:ascii="Arial"/>
                <w:sz w:val="16"/>
              </w:rPr>
              <w:t xml:space="preserve">          </w:t>
            </w:r>
            <w:r>
              <w:rPr>
                <w:rFonts w:cs="Arial" w:hAnsi="Arial" w:eastAsia="Arial" w:ascii="Arial"/>
                <w:sz w:val="16"/>
              </w:rPr>
              <w:t xml:space="preserve">453</w:t>
            </w:r>
            <w:r>
              <w:rPr>
                <w:rFonts w:cs="Arial" w:hAnsi="Arial" w:eastAsia="Arial" w:ascii="Arial"/>
                <w:sz w:val="16"/>
              </w:rPr>
              <w:t xml:space="preserve"> </w:t>
            </w:r>
            <w:r>
              <w:rPr>
                <w:rFonts w:cs="Arial" w:hAnsi="Arial" w:eastAsia="Arial" w:ascii="Arial"/>
                <w:sz w:val="16"/>
              </w:rPr>
              <w:t xml:space="preserve">000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80" w:firstLine="0"/>
              <w:jc w:val="center"/>
            </w:pPr>
            <w:r>
              <w:rPr>
                <w:rFonts w:cs="Arial" w:hAnsi="Arial" w:eastAsia="Arial" w:ascii="Arial"/>
                <w:sz w:val="16"/>
              </w:rPr>
              <w:t xml:space="preserve">GoBF</w:t>
            </w: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79" w:firstLine="0"/>
              <w:jc w:val="center"/>
            </w:pPr>
            <w:r>
              <w:rPr>
                <w:rFonts w:cs="Arial" w:hAnsi="Arial" w:eastAsia="Arial" w:ascii="Arial"/>
                <w:sz w:val="16"/>
              </w:rPr>
              <w:t xml:space="preserve">99</w:t>
            </w:r>
            <w:r>
              <w:rPr>
                <w:rFonts w:cs="Arial" w:hAnsi="Arial" w:eastAsia="Arial" w:ascii="Arial"/>
                <w:sz w:val="16"/>
              </w:rPr>
              <w:t xml:space="preserve"> </w:t>
            </w:r>
            <w:r>
              <w:rPr>
                <w:rFonts w:cs="Arial" w:hAnsi="Arial" w:eastAsia="Arial" w:ascii="Arial"/>
                <w:sz w:val="16"/>
              </w:rPr>
              <w:t xml:space="preserve">000</w:t>
            </w:r>
            <w:r>
              <w:rPr>
                <w:rFonts w:cs="Arial" w:hAnsi="Arial" w:eastAsia="Arial" w:ascii="Arial"/>
                <w:sz w:val="16"/>
              </w:rPr>
              <w:t xml:space="preserve"> </w:t>
            </w:r>
          </w:p>
        </w:tc>
      </w:tr>
      <w:tr>
        <w:trPr>
          <w:trHeight w:val="218"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sz w:val="18"/>
              </w:rPr>
              <w:t xml:space="preserve">Audits &amp; évaluation</w:t>
            </w:r>
            <w:r>
              <w:rPr>
                <w:sz w:val="18"/>
              </w:rPr>
              <w:t xml:space="preserve"> </w:t>
            </w:r>
          </w:p>
        </w:tc>
        <w:tc>
          <w:tcPr>
            <w:tcW w:w="211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8" w:firstLine="0"/>
              <w:jc w:val="left"/>
            </w:pPr>
            <w:r>
              <w:rPr>
                <w:rFonts w:cs="Arial" w:hAnsi="Arial" w:eastAsia="Arial" w:ascii="Arial"/>
                <w:sz w:val="16"/>
              </w:rPr>
              <w:t xml:space="preserve"> </w:t>
            </w:r>
          </w:p>
        </w:tc>
        <w:tc>
          <w:tcPr>
            <w:tcW w:w="344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32" w:firstLine="0"/>
              <w:jc w:val="left"/>
            </w:pPr>
            <w:r>
              <w:rPr>
                <w:rFonts w:cs="Arial" w:hAnsi="Arial" w:eastAsia="Arial" w:ascii="Arial"/>
                <w:sz w:val="16"/>
              </w:rPr>
              <w:t xml:space="preserve"> </w:t>
            </w:r>
          </w:p>
        </w:tc>
        <w:tc>
          <w:tcPr>
            <w:tcW w:w="151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3" w:firstLine="0"/>
              <w:jc w:val="left"/>
            </w:pPr>
            <w:r>
              <w:rPr>
                <w:rFonts w:cs="Arial" w:hAnsi="Arial" w:eastAsia="Arial" w:ascii="Arial"/>
                <w:sz w:val="16"/>
              </w:rPr>
              <w:t xml:space="preserve"> </w:t>
            </w:r>
          </w:p>
        </w:tc>
        <w:tc>
          <w:tcPr>
            <w:tcW w:w="1147" w:type="dxa"/>
            <w:tcBorders>
              <w:top w:val="single" w:sz="4" w:color="000000"/>
              <w:left w:val="single" w:sz="4" w:color="000000"/>
              <w:bottom w:val="single" w:sz="4" w:color="000000"/>
              <w:right w:val="single" w:sz="4" w:color="000000"/>
            </w:tcBorders>
            <w:vAlign w:val="top"/>
          </w:tcPr>
          <w:p>
            <w:pPr>
              <w:spacing w:before="0" w:after="0" w:line="259" w:lineRule="auto"/>
              <w:ind w:left="0" w:right="109" w:firstLine="0"/>
              <w:jc w:val="right"/>
            </w:pPr>
            <w:r>
              <w:rPr>
                <w:rFonts w:cs="Arial" w:hAnsi="Arial" w:eastAsia="Arial" w:ascii="Arial"/>
                <w:sz w:val="16"/>
              </w:rPr>
              <w:t xml:space="preserve">            </w:t>
            </w:r>
            <w:r>
              <w:rPr>
                <w:rFonts w:cs="Arial" w:hAnsi="Arial" w:eastAsia="Arial" w:ascii="Arial"/>
                <w:sz w:val="16"/>
              </w:rPr>
              <w:t xml:space="preserve">24</w:t>
            </w:r>
            <w:r>
              <w:rPr>
                <w:rFonts w:cs="Arial" w:hAnsi="Arial" w:eastAsia="Arial" w:ascii="Arial"/>
                <w:sz w:val="16"/>
              </w:rPr>
              <w:t xml:space="preserve"> </w:t>
            </w:r>
            <w:r>
              <w:rPr>
                <w:rFonts w:cs="Arial" w:hAnsi="Arial" w:eastAsia="Arial" w:ascii="Arial"/>
                <w:sz w:val="16"/>
              </w:rPr>
              <w:t xml:space="preserve">200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42" w:firstLine="0"/>
              <w:jc w:val="center"/>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41" w:firstLine="0"/>
              <w:jc w:val="center"/>
            </w:pPr>
            <w:r>
              <w:rPr>
                <w:rFonts w:cs="Arial" w:hAnsi="Arial" w:eastAsia="Arial" w:ascii="Arial"/>
                <w:sz w:val="16"/>
              </w:rPr>
              <w:t xml:space="preserve"> </w:t>
            </w:r>
          </w:p>
        </w:tc>
      </w:tr>
      <w:tr>
        <w:trPr>
          <w:trHeight w:val="21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03" w:type="dxa"/>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rFonts w:cs="Times New Roman" w:hAnsi="Times New Roman" w:eastAsia="Times New Roman" w:ascii="Times New Roman"/>
                <w:b w:val="1"/>
                <w:sz w:val="18"/>
              </w:rPr>
              <w:t xml:space="preserve">Total gestion du projet</w:t>
            </w:r>
            <w:r>
              <w:rPr>
                <w:rFonts w:cs="Times New Roman" w:hAnsi="Times New Roman" w:eastAsia="Times New Roman" w:ascii="Times New Roman"/>
                <w:b w:val="1"/>
                <w:sz w:val="18"/>
              </w:rPr>
              <w:t xml:space="preserve"> </w:t>
            </w:r>
          </w:p>
        </w:tc>
        <w:tc>
          <w:tcPr>
            <w:tcW w:w="5562" w:type="dxa"/>
            <w:gridSpan w:val="2"/>
            <w:tcBorders>
              <w:top w:val="single" w:sz="4" w:color="000000"/>
              <w:left w:val="single" w:sz="4" w:color="000000"/>
              <w:bottom w:val="single" w:sz="4" w:color="000000"/>
              <w:right w:val="nil"/>
            </w:tcBorders>
            <w:shd w:val="clear" w:fill="d9d9d9"/>
            <w:vAlign w:val="top"/>
          </w:tcPr>
          <w:p>
            <w:pPr>
              <w:spacing w:before="0" w:after="0" w:line="259" w:lineRule="auto"/>
              <w:ind w:left="28" w:firstLine="0"/>
              <w:jc w:val="left"/>
            </w:pPr>
            <w:r>
              <w:rPr>
                <w:rFonts w:cs="Arial" w:hAnsi="Arial" w:eastAsia="Arial" w:ascii="Arial"/>
                <w:sz w:val="16"/>
              </w:rPr>
              <w:t xml:space="preserve"> </w:t>
            </w:r>
          </w:p>
        </w:tc>
        <w:tc>
          <w:tcPr>
            <w:tcW w:w="1513" w:type="dxa"/>
            <w:tcBorders>
              <w:top w:val="single" w:sz="4" w:color="000000"/>
              <w:left w:val="nil"/>
              <w:bottom w:val="single" w:sz="4" w:color="000000"/>
              <w:right w:val="single" w:sz="4" w:color="000000"/>
            </w:tcBorders>
            <w:shd w:val="clear" w:fill="d9d9d9"/>
            <w:vAlign w:val="top"/>
          </w:tcPr>
          <w:p>
            <w:pPr>
              <w:bidi w:val="0"/>
              <w:spacing w:before="0" w:after="160" w:line="259" w:lineRule="auto"/>
              <w:ind w:left="0" w:right="0" w:firstLine="0"/>
              <w:jc w:val="left"/>
            </w:pPr>
          </w:p>
        </w:tc>
        <w:tc>
          <w:tcPr>
            <w:tcW w:w="1147" w:type="dxa"/>
            <w:tcBorders>
              <w:top w:val="single" w:sz="4" w:color="000000"/>
              <w:left w:val="single" w:sz="4" w:color="000000"/>
              <w:bottom w:val="single" w:sz="4" w:color="000000"/>
              <w:right w:val="single" w:sz="4" w:color="000000"/>
            </w:tcBorders>
            <w:vAlign w:val="top"/>
          </w:tcPr>
          <w:p>
            <w:pPr>
              <w:spacing w:before="0" w:after="0" w:line="259" w:lineRule="auto"/>
              <w:ind w:left="0" w:right="107" w:firstLine="0"/>
              <w:jc w:val="right"/>
            </w:pPr>
            <w:r>
              <w:rPr>
                <w:rFonts w:cs="Arial" w:hAnsi="Arial" w:eastAsia="Arial" w:ascii="Arial"/>
                <w:b w:val="1"/>
                <w:sz w:val="16"/>
              </w:rPr>
              <w:t xml:space="preserve">960</w:t>
            </w:r>
            <w:r>
              <w:rPr>
                <w:rFonts w:cs="Arial" w:hAnsi="Arial" w:eastAsia="Arial" w:ascii="Arial"/>
                <w:b w:val="1"/>
                <w:sz w:val="16"/>
              </w:rPr>
              <w:t xml:space="preserve"> </w:t>
            </w:r>
            <w:r>
              <w:rPr>
                <w:rFonts w:cs="Arial" w:hAnsi="Arial" w:eastAsia="Arial" w:ascii="Arial"/>
                <w:b w:val="1"/>
                <w:sz w:val="16"/>
              </w:rPr>
              <w:t xml:space="preserve">000</w:t>
            </w:r>
            <w:r>
              <w:rPr>
                <w:rFonts w:cs="Arial" w:hAnsi="Arial" w:eastAsia="Arial" w:ascii="Arial"/>
                <w:b w:val="1"/>
                <w:sz w:val="16"/>
              </w:rPr>
              <w:t xml:space="preserve"> </w:t>
            </w:r>
          </w:p>
        </w:tc>
        <w:tc>
          <w:tcPr>
            <w:tcW w:w="883" w:type="dxa"/>
            <w:tcBorders>
              <w:top w:val="single" w:sz="4" w:color="000000"/>
              <w:left w:val="single" w:sz="4" w:color="000000"/>
              <w:bottom w:val="single" w:sz="4" w:color="000000"/>
              <w:right w:val="single" w:sz="4" w:color="000000"/>
            </w:tcBorders>
            <w:vAlign w:val="top"/>
          </w:tcPr>
          <w:p>
            <w:pPr>
              <w:spacing w:before="0" w:after="0" w:line="259" w:lineRule="auto"/>
              <w:ind w:left="0" w:right="42" w:firstLine="0"/>
              <w:jc w:val="center"/>
            </w:pPr>
            <w:r>
              <w:rPr>
                <w:rFonts w:cs="Arial" w:hAnsi="Arial" w:eastAsia="Arial" w:ascii="Arial"/>
                <w:sz w:val="16"/>
              </w:rPr>
              <w:t xml:space="preserve"> </w:t>
            </w:r>
          </w:p>
        </w:tc>
        <w:tc>
          <w:tcPr>
            <w:tcW w:w="850" w:type="dxa"/>
            <w:tcBorders>
              <w:top w:val="single" w:sz="4" w:color="000000"/>
              <w:left w:val="single" w:sz="4" w:color="000000"/>
              <w:bottom w:val="single" w:sz="4" w:color="000000"/>
              <w:right w:val="single" w:sz="4" w:color="000000"/>
            </w:tcBorders>
            <w:vAlign w:val="top"/>
          </w:tcPr>
          <w:p>
            <w:pPr>
              <w:spacing w:before="0" w:after="0" w:line="259" w:lineRule="auto"/>
              <w:ind w:left="0" w:right="77" w:firstLine="0"/>
              <w:jc w:val="center"/>
            </w:pPr>
            <w:r>
              <w:rPr>
                <w:rFonts w:cs="Arial" w:hAnsi="Arial" w:eastAsia="Arial" w:ascii="Arial"/>
                <w:b w:val="1"/>
                <w:sz w:val="16"/>
              </w:rPr>
              <w:t xml:space="preserve">830</w:t>
            </w:r>
            <w:r>
              <w:rPr>
                <w:rFonts w:cs="Arial" w:hAnsi="Arial" w:eastAsia="Arial" w:ascii="Arial"/>
                <w:b w:val="1"/>
                <w:sz w:val="16"/>
              </w:rPr>
              <w:t xml:space="preserve"> </w:t>
            </w:r>
            <w:r>
              <w:rPr>
                <w:rFonts w:cs="Arial" w:hAnsi="Arial" w:eastAsia="Arial" w:ascii="Arial"/>
                <w:b w:val="1"/>
                <w:sz w:val="16"/>
              </w:rPr>
              <w:t xml:space="preserve">000</w:t>
            </w:r>
            <w:r>
              <w:rPr>
                <w:rFonts w:cs="Arial" w:hAnsi="Arial" w:eastAsia="Arial" w:ascii="Arial"/>
                <w:b w:val="1"/>
                <w:sz w:val="16"/>
              </w:rPr>
              <w:t xml:space="preserve"> </w:t>
            </w:r>
          </w:p>
        </w:tc>
      </w:tr>
      <w:tr>
        <w:trPr>
          <w:trHeight w:val="244" w:hRule="atLeast"/>
        </w:trPr>
        <w:tc>
          <w:tcPr>
            <w:tcW w:w="5071" w:type="dxa"/>
            <w:gridSpan w:val="2"/>
            <w:tcBorders>
              <w:top w:val="single" w:sz="4" w:color="000000"/>
              <w:left w:val="single" w:sz="4" w:color="000000"/>
              <w:bottom w:val="single" w:sz="4" w:color="000000"/>
              <w:right w:val="single" w:sz="4" w:color="000000"/>
            </w:tcBorders>
            <w:vAlign w:val="top"/>
          </w:tcPr>
          <w:p>
            <w:pPr>
              <w:spacing w:before="0" w:after="0" w:line="259" w:lineRule="auto"/>
              <w:ind w:left="29" w:firstLine="0"/>
              <w:jc w:val="left"/>
            </w:pPr>
            <w:r>
              <w:rPr>
                <w:rFonts w:cs="Times New Roman" w:hAnsi="Times New Roman" w:eastAsia="Times New Roman" w:ascii="Times New Roman"/>
                <w:b w:val="1"/>
                <w:sz w:val="20"/>
              </w:rPr>
              <w:t xml:space="preserve">TOTAL PROJET COGEL</w:t>
            </w:r>
            <w:r>
              <w:rPr>
                <w:rFonts w:cs="Times New Roman" w:hAnsi="Times New Roman" w:eastAsia="Times New Roman" w:ascii="Times New Roman"/>
                <w:b w:val="1"/>
                <w:sz w:val="20"/>
              </w:rPr>
              <w:t xml:space="preserve"> </w:t>
            </w:r>
          </w:p>
        </w:tc>
        <w:tc>
          <w:tcPr>
            <w:tcW w:w="5562" w:type="dxa"/>
            <w:gridSpan w:val="2"/>
            <w:tcBorders>
              <w:top w:val="single" w:sz="4" w:color="000000"/>
              <w:left w:val="single" w:sz="4" w:color="000000"/>
              <w:bottom w:val="single" w:sz="4" w:color="000000"/>
              <w:right w:val="nil"/>
            </w:tcBorders>
            <w:vAlign w:val="top"/>
          </w:tcPr>
          <w:p>
            <w:pPr>
              <w:spacing w:before="0" w:after="0" w:line="259" w:lineRule="auto"/>
              <w:ind w:left="1453" w:firstLine="0"/>
              <w:jc w:val="center"/>
            </w:pPr>
            <w:r>
              <w:rPr>
                <w:rFonts w:cs="Times New Roman" w:hAnsi="Times New Roman" w:eastAsia="Times New Roman" w:ascii="Times New Roman"/>
                <w:b w:val="1"/>
                <w:sz w:val="20"/>
              </w:rPr>
              <w:t xml:space="preserve">8</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430 000</w:t>
            </w:r>
            <w:r>
              <w:rPr>
                <w:rFonts w:cs="Times New Roman" w:hAnsi="Times New Roman" w:eastAsia="Times New Roman" w:ascii="Times New Roman"/>
                <w:b w:val="1"/>
                <w:sz w:val="20"/>
              </w:rPr>
              <w:t xml:space="preserve"> </w:t>
            </w:r>
          </w:p>
        </w:tc>
        <w:tc>
          <w:tcPr>
            <w:tcW w:w="1513"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14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107" w:firstLine="0"/>
              <w:jc w:val="right"/>
            </w:pPr>
            <w:r>
              <w:rPr>
                <w:rFonts w:cs="Arial" w:hAnsi="Arial" w:eastAsia="Arial" w:ascii="Arial"/>
                <w:b w:val="1"/>
                <w:sz w:val="16"/>
              </w:rPr>
              <w:t xml:space="preserve">4 000 000</w:t>
            </w:r>
            <w:r>
              <w:rPr>
                <w:rFonts w:cs="Arial" w:hAnsi="Arial" w:eastAsia="Arial" w:ascii="Arial"/>
                <w:b w:val="1"/>
                <w:sz w:val="16"/>
              </w:rPr>
              <w:t xml:space="preserve"> </w:t>
            </w:r>
          </w:p>
        </w:tc>
        <w:tc>
          <w:tcPr>
            <w:tcW w:w="88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71" w:firstLine="0"/>
              <w:jc w:val="right"/>
            </w:pPr>
            <w:r>
              <w:rPr>
                <w:rFonts w:cs="Arial" w:hAnsi="Arial" w:eastAsia="Arial" w:ascii="Arial"/>
                <w:b w:val="1"/>
                <w:sz w:val="16"/>
              </w:rPr>
              <w:t xml:space="preserve"> </w:t>
            </w:r>
          </w:p>
        </w:tc>
        <w:tc>
          <w:tcPr>
            <w:tcW w:w="85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79" w:firstLine="0"/>
              <w:jc w:val="center"/>
            </w:pPr>
            <w:r>
              <w:rPr>
                <w:rFonts w:cs="Arial" w:hAnsi="Arial" w:eastAsia="Arial" w:ascii="Arial"/>
                <w:b w:val="1"/>
                <w:sz w:val="16"/>
              </w:rPr>
              <w:t xml:space="preserve">4</w:t>
            </w:r>
            <w:r>
              <w:rPr>
                <w:rFonts w:cs="Arial" w:hAnsi="Arial" w:eastAsia="Arial" w:ascii="Arial"/>
                <w:b w:val="1"/>
                <w:sz w:val="16"/>
              </w:rPr>
              <w:t xml:space="preserve"> </w:t>
            </w:r>
            <w:r>
              <w:rPr>
                <w:rFonts w:cs="Arial" w:hAnsi="Arial" w:eastAsia="Arial" w:ascii="Arial"/>
                <w:b w:val="1"/>
                <w:sz w:val="16"/>
              </w:rPr>
              <w:t xml:space="preserve">330 000</w:t>
            </w:r>
            <w:r>
              <w:rPr>
                <w:rFonts w:cs="Arial" w:hAnsi="Arial" w:eastAsia="Arial" w:ascii="Arial"/>
                <w:b w:val="1"/>
                <w:sz w:val="16"/>
              </w:rPr>
              <w:t xml:space="preserve"> </w:t>
            </w:r>
          </w:p>
        </w:tc>
      </w:tr>
    </w:tbl>
    <w:p>
      <w:pPr>
        <w:spacing w:before="0" w:after="0" w:line="259" w:lineRule="auto"/>
        <w:ind w:left="0" w:firstLine="0"/>
        <w:jc w:val="left"/>
      </w:pPr>
      <w:r>
        <w:rPr>
          <w:rFonts w:cs="Times New Roman" w:hAnsi="Times New Roman" w:eastAsia="Times New Roman" w:ascii="Times New Roman"/>
          <w:b w:val="1"/>
          <w:sz w:val="24"/>
        </w:rPr>
        <w:t xml:space="preserve"> </w:t>
      </w:r>
    </w:p>
    <w:p>
      <w:pPr>
        <w:spacing w:before="0" w:after="0" w:line="259" w:lineRule="auto"/>
        <w:ind w:left="0" w:firstLine="0"/>
      </w:pPr>
      <w:r>
        <w:rPr>
          <w:rFonts w:cs="Times New Roman" w:hAnsi="Times New Roman" w:eastAsia="Times New Roman" w:ascii="Times New Roman"/>
          <w:b w:val="1"/>
          <w:sz w:val="24"/>
        </w:rPr>
        <w:t xml:space="preserve"> 	 </w:t>
      </w:r>
    </w:p>
    <w:p>
      <w:pPr>
        <w:pStyle w:val="heading3"/>
        <w:spacing w:before="0" w:after="10" w:line="249" w:lineRule="auto"/>
        <w:ind w:left="-5"/>
      </w:pPr>
      <w:r>
        <w:rPr/>
        <w:t xml:space="preserve">4</w:t>
      </w:r>
      <w:r>
        <w:rPr/>
        <w:t xml:space="preserve">.2. Budgets</w:t>
      </w:r>
      <w:r>
        <w:rPr/>
        <w:t xml:space="preserve"> </w:t>
      </w:r>
      <w:r>
        <w:rPr/>
        <w:t xml:space="preserve">total détaillé (Fonds TRAC)</w:t>
      </w:r>
      <w:r>
        <w:rPr/>
        <w:t xml:space="preserve"> </w:t>
      </w:r>
    </w:p>
    <w:p>
      <w:pPr>
        <w:spacing w:before="0" w:after="0" w:line="259" w:lineRule="auto"/>
        <w:ind w:left="0" w:firstLine="0"/>
        <w:jc w:val="left"/>
      </w:pPr>
      <w:r>
        <w:rPr/>
        <w:t xml:space="preserve"> </w:t>
      </w:r>
    </w:p>
    <w:tbl>
      <w:tblPr>
        <w:tblStyle w:val="TableGrid"/>
        <w:tblW w:w="14742" w:type="dxa"/>
        <w:tblInd w:w="-707" w:type="dxa"/>
        <w:tblCellMar>
          <w:top w:w="0" w:type="dxa"/>
          <w:left w:w="68" w:type="dxa"/>
          <w:bottom w:w="4" w:type="dxa"/>
          <w:right w:w="20" w:type="dxa"/>
        </w:tblCellMar>
      </w:tblPr>
      <w:tblGrid>
        <w:gridCol w:w="2834"/>
        <w:gridCol w:w="1135"/>
        <w:gridCol w:w="1133"/>
        <w:gridCol w:w="851"/>
        <w:gridCol w:w="1134"/>
        <w:gridCol w:w="1303"/>
        <w:gridCol w:w="1163"/>
        <w:gridCol w:w="1163"/>
        <w:gridCol w:w="1162"/>
        <w:gridCol w:w="1165"/>
        <w:gridCol w:w="1699"/>
      </w:tblGrid>
      <w:tr>
        <w:trPr>
          <w:trHeight w:val="443" w:hRule="atLeast"/>
        </w:trPr>
        <w:tc>
          <w:tcPr>
            <w:tcW w:w="2834"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2" w:firstLine="0"/>
              <w:jc w:val="center"/>
            </w:pPr>
            <w:r>
              <w:rPr>
                <w:rFonts w:cs="Times New Roman" w:hAnsi="Times New Roman" w:eastAsia="Times New Roman" w:ascii="Times New Roman"/>
                <w:b w:val="1"/>
                <w:sz w:val="20"/>
              </w:rPr>
              <w:t xml:space="preserve"> </w:t>
            </w:r>
          </w:p>
          <w:p>
            <w:pPr>
              <w:spacing w:before="0" w:after="0" w:line="259" w:lineRule="auto"/>
              <w:ind w:left="0" w:right="54" w:firstLine="0"/>
              <w:jc w:val="center"/>
            </w:pPr>
            <w:r>
              <w:rPr>
                <w:rFonts w:cs="Times New Roman" w:hAnsi="Times New Roman" w:eastAsia="Times New Roman" w:ascii="Times New Roman"/>
                <w:b w:val="1"/>
                <w:sz w:val="20"/>
              </w:rPr>
              <w:t xml:space="preserve">Produits/Activités</w:t>
            </w:r>
            <w:r>
              <w:rPr>
                <w:rFonts w:cs="Times New Roman" w:hAnsi="Times New Roman" w:eastAsia="Times New Roman" w:ascii="Times New Roman"/>
                <w:b w:val="1"/>
                <w:sz w:val="20"/>
              </w:rPr>
              <w:t xml:space="preserve"> </w:t>
            </w:r>
          </w:p>
        </w:tc>
        <w:tc>
          <w:tcPr>
            <w:tcW w:w="1135"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1" w:firstLine="0"/>
              <w:jc w:val="center"/>
            </w:pPr>
            <w:r>
              <w:rPr>
                <w:rFonts w:cs="Times New Roman" w:hAnsi="Times New Roman" w:eastAsia="Times New Roman" w:ascii="Times New Roman"/>
                <w:b w:val="1"/>
                <w:sz w:val="20"/>
              </w:rPr>
              <w:t xml:space="preserve"> </w:t>
            </w:r>
          </w:p>
          <w:p>
            <w:pPr>
              <w:spacing w:before="0" w:after="0" w:line="259" w:lineRule="auto"/>
              <w:ind w:left="0" w:right="53" w:firstLine="0"/>
              <w:jc w:val="center"/>
            </w:pPr>
            <w:r>
              <w:rPr>
                <w:rFonts w:cs="Times New Roman" w:hAnsi="Times New Roman" w:eastAsia="Times New Roman" w:ascii="Times New Roman"/>
                <w:b w:val="1"/>
                <w:sz w:val="20"/>
              </w:rPr>
              <w:t xml:space="preserve">Agences</w:t>
            </w:r>
            <w:r>
              <w:rPr>
                <w:rFonts w:cs="Times New Roman" w:hAnsi="Times New Roman" w:eastAsia="Times New Roman" w:ascii="Times New Roman"/>
                <w:b w:val="1"/>
                <w:sz w:val="20"/>
              </w:rPr>
              <w:t xml:space="preserve"> </w:t>
            </w:r>
          </w:p>
        </w:tc>
        <w:tc>
          <w:tcPr>
            <w:tcW w:w="1133"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center"/>
            </w:pPr>
            <w:r>
              <w:rPr>
                <w:rFonts w:cs="Times New Roman" w:hAnsi="Times New Roman" w:eastAsia="Times New Roman" w:ascii="Times New Roman"/>
                <w:b w:val="1"/>
                <w:sz w:val="20"/>
              </w:rPr>
              <w:t xml:space="preserve">Rubrique Budgétaire</w:t>
            </w:r>
            <w:r>
              <w:rPr>
                <w:rFonts w:cs="Times New Roman" w:hAnsi="Times New Roman" w:eastAsia="Times New Roman" w:ascii="Times New Roman"/>
                <w:b w:val="1"/>
                <w:sz w:val="20"/>
              </w:rPr>
              <w:t xml:space="preserve"> </w:t>
            </w:r>
          </w:p>
        </w:tc>
        <w:tc>
          <w:tcPr>
            <w:tcW w:w="1985" w:type="dxa"/>
            <w:gridSpan w:val="2"/>
            <w:tcBorders>
              <w:top w:val="single" w:sz="4" w:color="000000"/>
              <w:left w:val="single" w:sz="4" w:color="000000"/>
              <w:bottom w:val="single" w:sz="4" w:color="000000"/>
              <w:right w:val="single" w:sz="4" w:color="000000"/>
            </w:tcBorders>
            <w:shd w:val="clear" w:fill="d9d9d9"/>
            <w:vAlign w:val="bottom"/>
          </w:tcPr>
          <w:p>
            <w:pPr>
              <w:spacing w:before="0" w:after="0" w:line="259" w:lineRule="auto"/>
              <w:ind w:left="1" w:firstLine="0"/>
              <w:jc w:val="left"/>
            </w:pPr>
            <w:r>
              <w:rPr>
                <w:rFonts w:cs="Cambria" w:hAnsi="Cambria" w:eastAsia="Cambria" w:ascii="Cambria"/>
                <w:color w:val="404040"/>
                <w:sz w:val="20"/>
              </w:rPr>
              <w:t xml:space="preserve">Description Atlas</w:t>
            </w:r>
            <w:r>
              <w:rPr>
                <w:rFonts w:cs="Cambria" w:hAnsi="Cambria" w:eastAsia="Cambria" w:ascii="Cambria"/>
                <w:color w:val="404040"/>
                <w:sz w:val="20"/>
              </w:rPr>
              <w:t xml:space="preserve"> </w:t>
            </w:r>
          </w:p>
        </w:tc>
        <w:tc>
          <w:tcPr>
            <w:tcW w:w="5955" w:type="dxa"/>
            <w:gridSpan w:val="5"/>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6" w:firstLine="0"/>
              <w:jc w:val="center"/>
            </w:pPr>
            <w:r>
              <w:rPr>
                <w:rFonts w:cs="Times New Roman" w:hAnsi="Times New Roman" w:eastAsia="Times New Roman" w:ascii="Times New Roman"/>
                <w:b w:val="1"/>
                <w:sz w:val="20"/>
              </w:rPr>
              <w:t xml:space="preserve">Coûts par An ($.USD)</w:t>
            </w:r>
            <w:r>
              <w:rPr>
                <w:rFonts w:cs="Times New Roman" w:hAnsi="Times New Roman" w:eastAsia="Times New Roman" w:ascii="Times New Roman"/>
                <w:b w:val="1"/>
                <w:sz w:val="20"/>
              </w:rPr>
              <w:t xml:space="preserve"> </w:t>
            </w:r>
          </w:p>
        </w:tc>
        <w:tc>
          <w:tcPr>
            <w:tcW w:w="169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8" w:firstLine="0"/>
              <w:jc w:val="center"/>
            </w:pPr>
            <w:r>
              <w:rPr>
                <w:rFonts w:cs="Times New Roman" w:hAnsi="Times New Roman" w:eastAsia="Times New Roman" w:ascii="Times New Roman"/>
                <w:b w:val="1"/>
                <w:sz w:val="20"/>
              </w:rPr>
              <w:t xml:space="preserve">Coûts totaux</w:t>
            </w:r>
            <w:r>
              <w:rPr>
                <w:rFonts w:cs="Times New Roman" w:hAnsi="Times New Roman" w:eastAsia="Times New Roman" w:ascii="Times New Roman"/>
                <w:b w:val="1"/>
                <w:sz w:val="20"/>
              </w:rPr>
              <w:t xml:space="preserve"> </w:t>
            </w:r>
          </w:p>
        </w:tc>
      </w:tr>
      <w:tr>
        <w:trPr>
          <w:trHeight w:val="70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851"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2" w:firstLine="0"/>
              <w:jc w:val="center"/>
            </w:pPr>
            <w:r>
              <w:rPr>
                <w:rFonts w:cs="Times New Roman" w:hAnsi="Times New Roman" w:eastAsia="Times New Roman" w:ascii="Times New Roman"/>
                <w:b w:val="1"/>
                <w:sz w:val="20"/>
              </w:rPr>
              <w:t xml:space="preserve">Ligne</w:t>
            </w:r>
            <w:r>
              <w:rPr>
                <w:rFonts w:cs="Times New Roman" w:hAnsi="Times New Roman" w:eastAsia="Times New Roman" w:ascii="Times New Roman"/>
                <w:b w:val="1"/>
                <w:sz w:val="20"/>
              </w:rPr>
              <w:t xml:space="preserve"> </w:t>
            </w:r>
          </w:p>
        </w:tc>
        <w:tc>
          <w:tcPr>
            <w:tcW w:w="1134"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5" w:firstLine="0"/>
            </w:pPr>
            <w:r>
              <w:rPr>
                <w:rFonts w:cs="Times New Roman" w:hAnsi="Times New Roman" w:eastAsia="Times New Roman" w:ascii="Times New Roman"/>
                <w:b w:val="1"/>
                <w:sz w:val="20"/>
              </w:rPr>
              <w:t xml:space="preserve">Description</w:t>
            </w:r>
            <w:r>
              <w:rPr>
                <w:rFonts w:cs="Times New Roman" w:hAnsi="Times New Roman" w:eastAsia="Times New Roman" w:ascii="Times New Roman"/>
                <w:b w:val="1"/>
                <w:sz w:val="20"/>
              </w:rPr>
              <w:t xml:space="preserve"> </w:t>
            </w:r>
          </w:p>
        </w:tc>
        <w:tc>
          <w:tcPr>
            <w:tcW w:w="130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7" w:firstLine="0"/>
              <w:jc w:val="center"/>
            </w:pPr>
            <w:r>
              <w:rPr>
                <w:rFonts w:cs="Times New Roman" w:hAnsi="Times New Roman" w:eastAsia="Times New Roman" w:ascii="Times New Roman"/>
                <w:b w:val="1"/>
                <w:sz w:val="20"/>
              </w:rPr>
              <w:t xml:space="preserve">2011</w:t>
            </w:r>
            <w:r>
              <w:rPr>
                <w:rFonts w:cs="Times New Roman" w:hAnsi="Times New Roman" w:eastAsia="Times New Roman" w:ascii="Times New Roman"/>
                <w:b w:val="1"/>
                <w:sz w:val="20"/>
              </w:rPr>
              <w:t xml:space="preserve"> </w:t>
            </w:r>
          </w:p>
          <w:p>
            <w:pPr>
              <w:spacing w:before="0" w:after="0" w:line="259" w:lineRule="auto"/>
              <w:ind w:left="1" w:firstLine="0"/>
              <w:jc w:val="left"/>
            </w:pPr>
            <w:r>
              <w:rPr>
                <w:sz w:val="20"/>
              </w:rPr>
              <w:t xml:space="preserve"> </w:t>
            </w:r>
          </w:p>
        </w:tc>
        <w:tc>
          <w:tcPr>
            <w:tcW w:w="116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1" w:firstLine="0"/>
              <w:jc w:val="center"/>
            </w:pPr>
            <w:r>
              <w:rPr>
                <w:rFonts w:cs="Times New Roman" w:hAnsi="Times New Roman" w:eastAsia="Times New Roman" w:ascii="Times New Roman"/>
                <w:b w:val="1"/>
                <w:sz w:val="20"/>
              </w:rPr>
              <w:t xml:space="preserve">2012</w:t>
            </w:r>
            <w:r>
              <w:rPr>
                <w:rFonts w:cs="Times New Roman" w:hAnsi="Times New Roman" w:eastAsia="Times New Roman" w:ascii="Times New Roman"/>
                <w:b w:val="1"/>
                <w:sz w:val="20"/>
              </w:rPr>
              <w:t xml:space="preserve"> </w:t>
            </w:r>
          </w:p>
          <w:p>
            <w:pPr>
              <w:spacing w:before="0" w:after="0" w:line="259" w:lineRule="auto"/>
              <w:ind w:left="0" w:firstLine="0"/>
              <w:jc w:val="center"/>
            </w:pPr>
            <w:r>
              <w:rPr>
                <w:sz w:val="20"/>
              </w:rPr>
              <w:t xml:space="preserve"> </w:t>
            </w:r>
          </w:p>
        </w:tc>
        <w:tc>
          <w:tcPr>
            <w:tcW w:w="116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9" w:firstLine="0"/>
              <w:jc w:val="center"/>
            </w:pPr>
            <w:r>
              <w:rPr>
                <w:rFonts w:cs="Times New Roman" w:hAnsi="Times New Roman" w:eastAsia="Times New Roman" w:ascii="Times New Roman"/>
                <w:b w:val="1"/>
                <w:sz w:val="20"/>
              </w:rPr>
              <w:t xml:space="preserve">2013</w:t>
            </w:r>
            <w:r>
              <w:rPr>
                <w:rFonts w:cs="Times New Roman" w:hAnsi="Times New Roman" w:eastAsia="Times New Roman" w:ascii="Times New Roman"/>
                <w:b w:val="1"/>
                <w:sz w:val="20"/>
              </w:rPr>
              <w:t xml:space="preserve"> </w:t>
            </w:r>
          </w:p>
          <w:p>
            <w:pPr>
              <w:spacing w:before="0" w:after="0" w:line="259" w:lineRule="auto"/>
              <w:ind w:left="2" w:firstLine="0"/>
              <w:jc w:val="left"/>
            </w:pPr>
            <w:r>
              <w:rPr>
                <w:sz w:val="20"/>
              </w:rPr>
              <w:t xml:space="preserve"> </w:t>
            </w:r>
          </w:p>
        </w:tc>
        <w:tc>
          <w:tcPr>
            <w:tcW w:w="1162"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0" w:firstLine="0"/>
              <w:jc w:val="center"/>
            </w:pPr>
            <w:r>
              <w:rPr>
                <w:rFonts w:cs="Times New Roman" w:hAnsi="Times New Roman" w:eastAsia="Times New Roman" w:ascii="Times New Roman"/>
                <w:b w:val="1"/>
                <w:sz w:val="20"/>
              </w:rPr>
              <w:t xml:space="preserve">2014</w:t>
            </w:r>
            <w:r>
              <w:rPr>
                <w:rFonts w:cs="Times New Roman" w:hAnsi="Times New Roman" w:eastAsia="Times New Roman" w:ascii="Times New Roman"/>
                <w:b w:val="1"/>
                <w:sz w:val="20"/>
              </w:rPr>
              <w:t xml:space="preserve"> </w:t>
            </w:r>
          </w:p>
          <w:p>
            <w:pPr>
              <w:spacing w:before="0" w:after="0" w:line="259" w:lineRule="auto"/>
              <w:ind w:left="1" w:firstLine="0"/>
              <w:jc w:val="left"/>
            </w:pPr>
            <w:r>
              <w:rPr>
                <w:sz w:val="20"/>
              </w:rPr>
              <w:t xml:space="preserve"> </w:t>
            </w:r>
          </w:p>
        </w:tc>
        <w:tc>
          <w:tcPr>
            <w:tcW w:w="1165"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3" w:firstLine="0"/>
              <w:jc w:val="center"/>
            </w:pPr>
            <w:r>
              <w:rPr>
                <w:rFonts w:cs="Times New Roman" w:hAnsi="Times New Roman" w:eastAsia="Times New Roman" w:ascii="Times New Roman"/>
                <w:b w:val="1"/>
                <w:sz w:val="20"/>
              </w:rPr>
              <w:t xml:space="preserve">2015</w:t>
            </w:r>
            <w:r>
              <w:rPr>
                <w:rFonts w:cs="Times New Roman" w:hAnsi="Times New Roman" w:eastAsia="Times New Roman" w:ascii="Times New Roman"/>
                <w:b w:val="1"/>
                <w:sz w:val="20"/>
              </w:rPr>
              <w:t xml:space="preserve"> </w:t>
            </w:r>
          </w:p>
          <w:p>
            <w:pPr>
              <w:spacing w:before="0" w:after="0" w:line="259" w:lineRule="auto"/>
              <w:ind w:left="1" w:firstLine="0"/>
              <w:jc w:val="left"/>
            </w:pPr>
            <w:r>
              <w:rPr>
                <w:sz w:val="20"/>
              </w:rPr>
              <w:t xml:space="preserve"> </w:t>
            </w:r>
          </w:p>
        </w:tc>
        <w:tc>
          <w:tcPr>
            <w:tcW w:w="169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firstLine="0"/>
              <w:jc w:val="left"/>
            </w:pPr>
            <w:r>
              <w:rPr>
                <w:rFonts w:cs="Times New Roman" w:hAnsi="Times New Roman" w:eastAsia="Times New Roman" w:ascii="Times New Roman"/>
                <w:b w:val="1"/>
                <w:sz w:val="20"/>
              </w:rPr>
              <w:t xml:space="preserve"> </w:t>
            </w:r>
          </w:p>
        </w:tc>
      </w:tr>
      <w:tr>
        <w:trPr>
          <w:trHeight w:val="241" w:hRule="atLeast"/>
        </w:trPr>
        <w:tc>
          <w:tcPr>
            <w:tcW w:w="14742" w:type="dxa"/>
            <w:gridSpan w:val="11"/>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i w:val="1"/>
                <w:sz w:val="20"/>
              </w:rPr>
              <w:t xml:space="preserve">Produit 1 EPP1.1 Les thèmes transversaux</w:t>
            </w:r>
            <w:r>
              <w:rPr>
                <w:rFonts w:cs="Times New Roman" w:hAnsi="Times New Roman" w:eastAsia="Times New Roman" w:ascii="Times New Roman"/>
                <w:i w:val="1"/>
                <w:sz w:val="20"/>
                <w:vertAlign w:val="superscript"/>
              </w:rPr>
              <w:footnoteReference w:id="57"/>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sont mieux intégrés dans la SCADD et les politiques sectorielles de développement</w:t>
            </w:r>
            <w:r>
              <w:rPr>
                <w:rFonts w:cs="Times New Roman" w:hAnsi="Times New Roman" w:eastAsia="Times New Roman" w:ascii="Times New Roman"/>
                <w:b w:val="1"/>
                <w:sz w:val="20"/>
              </w:rPr>
              <w:t xml:space="preserve"> </w:t>
            </w:r>
          </w:p>
        </w:tc>
      </w:tr>
      <w:tr>
        <w:trPr>
          <w:trHeight w:val="447" w:hRule="atLeast"/>
        </w:trPr>
        <w:tc>
          <w:tcPr>
            <w:tcW w:w="14742" w:type="dxa"/>
            <w:gridSpan w:val="11"/>
            <w:tcBorders>
              <w:top w:val="single" w:sz="4" w:color="000000"/>
              <w:left w:val="single" w:sz="4" w:color="000000"/>
              <w:bottom w:val="single" w:sz="4" w:color="000000"/>
              <w:right w:val="single" w:sz="4" w:color="000000"/>
            </w:tcBorders>
            <w:vAlign w:val="top"/>
          </w:tcPr>
          <w:p>
            <w:pPr>
              <w:spacing w:before="0" w:after="20" w:line="259" w:lineRule="auto"/>
              <w:ind w:left="0" w:firstLine="0"/>
              <w:jc w:val="left"/>
            </w:pPr>
            <w:r>
              <w:rPr>
                <w:rFonts w:cs="Times New Roman" w:hAnsi="Times New Roman" w:eastAsia="Times New Roman" w:ascii="Times New Roman"/>
                <w:b w:val="1"/>
                <w:sz w:val="18"/>
              </w:rPr>
              <w:t xml:space="preserve">Produit 1. du projet</w:t>
            </w:r>
            <w:r>
              <w:rPr>
                <w:rFonts w:cs="Times New Roman" w:hAnsi="Times New Roman" w:eastAsia="Times New Roman" w:ascii="Times New Roman"/>
                <w:b w:val="1"/>
                <w:sz w:val="18"/>
              </w:rPr>
              <w:t xml:space="preserve">:</w:t>
            </w:r>
            <w:r>
              <w:rPr>
                <w:sz w:val="18"/>
              </w:rPr>
              <w:t xml:space="preserve"> </w:t>
            </w:r>
          </w:p>
          <w:p>
            <w:pPr>
              <w:spacing w:before="0" w:after="0" w:line="259" w:lineRule="auto"/>
              <w:ind w:left="0" w:firstLine="0"/>
              <w:jc w:val="left"/>
            </w:pPr>
            <w:r>
              <w:rPr>
                <w:rFonts w:cs="Times New Roman" w:hAnsi="Times New Roman" w:eastAsia="Times New Roman" w:ascii="Times New Roman"/>
                <w:i w:val="1"/>
                <w:sz w:val="20"/>
              </w:rPr>
              <w:t xml:space="preserve">Les structures centrales sont outillées pour assurer la prise en compte des principes du DD dans la mise en œuvre de la SCADD et des plans locaux de</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développement</w:t>
            </w:r>
            <w:r>
              <w:rPr>
                <w:rFonts w:cs="Times New Roman" w:hAnsi="Times New Roman" w:eastAsia="Times New Roman" w:ascii="Times New Roman"/>
                <w:i w:val="1"/>
                <w:sz w:val="20"/>
              </w:rPr>
              <w:t xml:space="preserve"> </w:t>
            </w:r>
          </w:p>
        </w:tc>
      </w:tr>
      <w:tr>
        <w:trPr>
          <w:trHeight w:val="746"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6"/>
              </w:rPr>
              <w:t xml:space="preserve"> </w:t>
            </w:r>
          </w:p>
          <w:p>
            <w:pPr>
              <w:spacing w:before="0" w:after="0" w:line="259" w:lineRule="auto"/>
              <w:ind w:left="720" w:hanging="720"/>
              <w:jc w:val="left"/>
            </w:pPr>
            <w:r>
              <w:rPr>
                <w:sz w:val="16"/>
              </w:rPr>
              <w:t xml:space="preserve">1.</w:t>
            </w:r>
            <w:r>
              <w:rPr>
                <w:rFonts w:cs="Arial" w:hAnsi="Arial" w:eastAsia="Arial" w:ascii="Arial"/>
                <w:sz w:val="16"/>
              </w:rPr>
              <w:t xml:space="preserve"> 	</w:t>
            </w:r>
            <w:r>
              <w:rPr>
                <w:sz w:val="16"/>
              </w:rPr>
              <w:t xml:space="preserve">Renforcement des capacités de suivi de la SCADD par  les structures du MEDD</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40000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Agency FB" w:hAnsi="Agency FB" w:eastAsia="Agency FB" w:ascii="Agency FB"/>
                <w:b w:val="1"/>
                <w:sz w:val="16"/>
              </w:rPr>
              <w:t xml:space="preserve">70 000</w:t>
            </w:r>
            <w:r>
              <w:rPr>
                <w:rFonts w:cs="Agency FB" w:hAnsi="Agency FB" w:eastAsia="Agency FB" w:ascii="Agency FB"/>
                <w:b w:val="1"/>
                <w:sz w:val="16"/>
              </w:rPr>
              <w:t xml:space="preserve"> </w:t>
            </w:r>
          </w:p>
        </w:tc>
      </w:tr>
      <w:tr>
        <w:trPr>
          <w:trHeight w:val="377"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pPr>
            <w:r>
              <w:rPr>
                <w:sz w:val="16"/>
              </w:rPr>
              <w:t xml:space="preserve">2.</w:t>
            </w:r>
            <w:r>
              <w:rPr>
                <w:rFonts w:cs="Arial" w:hAnsi="Arial" w:eastAsia="Arial" w:ascii="Arial"/>
                <w:sz w:val="16"/>
              </w:rPr>
              <w:t xml:space="preserve"> </w:t>
            </w:r>
            <w:r>
              <w:rPr>
                <w:sz w:val="16"/>
              </w:rPr>
              <w:t xml:space="preserve">Appui à la finalisation et au pilotage du PNSR</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right="52" w:firstLine="0"/>
              <w:jc w:val="center"/>
            </w:pPr>
            <w:r>
              <w:rPr>
                <w:sz w:val="16"/>
              </w:rPr>
              <w:t xml:space="preserve">NEX</w:t>
            </w:r>
            <w:r>
              <w:rPr>
                <w:sz w:val="16"/>
              </w:rPr>
              <w:t xml:space="preserve">/ </w:t>
            </w:r>
            <w:r>
              <w:rPr>
                <w:sz w:val="16"/>
              </w:rPr>
              <w:t xml:space="preserve"> </w:t>
            </w:r>
          </w:p>
          <w:p>
            <w:pPr>
              <w:spacing w:before="0" w:after="0" w:line="259" w:lineRule="auto"/>
              <w:ind w:left="90" w:firstLine="0"/>
              <w:jc w:val="left"/>
            </w:pPr>
            <w:r>
              <w:rPr>
                <w:sz w:val="16"/>
              </w:rPr>
              <w:t xml:space="preserve">DEP MEDD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300000</w:t>
            </w:r>
            <w:r>
              <w:rPr>
                <w:rFonts w:cs="Agency FB" w:hAnsi="Agency FB" w:eastAsia="Agency FB" w:ascii="Agency FB"/>
                <w:b w:val="1"/>
                <w:sz w:val="16"/>
              </w:rPr>
              <w:t xml:space="preserve"> </w:t>
            </w:r>
          </w:p>
        </w:tc>
      </w:tr>
      <w:tr>
        <w:trPr>
          <w:trHeight w:val="564" w:hRule="atLeast"/>
        </w:trPr>
        <w:tc>
          <w:tcPr>
            <w:tcW w:w="2834" w:type="dxa"/>
            <w:tcBorders>
              <w:top w:val="single" w:sz="4" w:color="000000"/>
              <w:left w:val="single" w:sz="4" w:color="000000"/>
              <w:bottom w:val="single" w:sz="4" w:color="000000"/>
              <w:right w:val="single" w:sz="4" w:color="000000"/>
            </w:tcBorders>
            <w:vAlign w:val="top"/>
          </w:tcPr>
          <w:p>
            <w:pPr>
              <w:tabs>
                <w:tab w:val="center" w:pos="1398"/>
              </w:tabs>
              <w:spacing w:before="0" w:after="0" w:line="259" w:lineRule="auto"/>
              <w:ind w:left="0" w:firstLine="0"/>
              <w:jc w:val="left"/>
            </w:pPr>
            <w:r>
              <w:rPr>
                <w:sz w:val="16"/>
              </w:rPr>
              <w:t xml:space="preserve">3.</w:t>
            </w:r>
            <w:r>
              <w:rPr>
                <w:rFonts w:cs="Arial" w:hAnsi="Arial" w:eastAsia="Arial" w:ascii="Arial"/>
                <w:sz w:val="16"/>
              </w:rPr>
              <w:t xml:space="preserve"> 	</w:t>
            </w:r>
            <w:r>
              <w:rPr>
                <w:sz w:val="16"/>
              </w:rPr>
              <w:t xml:space="preserve">Appui au transfert de </w:t>
            </w:r>
          </w:p>
          <w:p>
            <w:pPr>
              <w:spacing w:before="0" w:after="0" w:line="259" w:lineRule="auto"/>
              <w:ind w:left="720" w:firstLine="0"/>
              <w:jc w:val="left"/>
            </w:pPr>
            <w:r>
              <w:rPr>
                <w:sz w:val="16"/>
              </w:rPr>
              <w:t xml:space="preserve">compétences de gestion des RN aux CT</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18" w:firstLine="0"/>
              <w:jc w:val="center"/>
            </w:pP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2"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Agency FB" w:hAnsi="Agency FB" w:eastAsia="Agency FB" w:ascii="Agency FB"/>
                <w:b w:val="1"/>
                <w:sz w:val="16"/>
              </w:rPr>
              <w:t xml:space="preserve">50000</w:t>
            </w:r>
            <w:r>
              <w:rPr>
                <w:rFonts w:cs="Agency FB" w:hAnsi="Agency FB" w:eastAsia="Agency FB" w:ascii="Agency FB"/>
                <w:b w:val="1"/>
                <w:sz w:val="16"/>
              </w:rPr>
              <w:t xml:space="preserve"> </w:t>
            </w:r>
          </w:p>
        </w:tc>
      </w:tr>
      <w:tr>
        <w:trPr>
          <w:trHeight w:val="377"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4.</w:t>
            </w:r>
            <w:r>
              <w:rPr>
                <w:rFonts w:cs="Arial" w:hAnsi="Arial" w:eastAsia="Arial" w:ascii="Arial"/>
                <w:sz w:val="16"/>
              </w:rPr>
              <w:t xml:space="preserve"> 	</w:t>
            </w:r>
            <w:r>
              <w:rPr>
                <w:sz w:val="16"/>
              </w:rPr>
              <w:t xml:space="preserve">Appui à la préparation de RIO+20</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PM</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51" w:firstLine="0"/>
              <w:jc w:val="center"/>
            </w:pPr>
            <w:r>
              <w:rPr>
                <w:rFonts w:cs="Agency FB" w:hAnsi="Agency FB" w:eastAsia="Agency FB" w:ascii="Agency FB"/>
                <w:sz w:val="16"/>
              </w:rPr>
              <w:t xml:space="preserve">PM</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16" w:firstLine="0"/>
              <w:jc w:val="center"/>
            </w:pP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51" w:firstLine="0"/>
              <w:jc w:val="center"/>
            </w:pPr>
            <w:r>
              <w:rPr>
                <w:rFonts w:cs="Agency FB" w:hAnsi="Agency FB" w:eastAsia="Agency FB" w:ascii="Agency FB"/>
                <w:b w:val="1"/>
                <w:sz w:val="16"/>
              </w:rPr>
              <w:t xml:space="preserve">PM</w:t>
            </w:r>
            <w:r>
              <w:rPr>
                <w:rFonts w:cs="Agency FB" w:hAnsi="Agency FB" w:eastAsia="Agency FB" w:ascii="Agency FB"/>
                <w:b w:val="1"/>
                <w:sz w:val="16"/>
              </w:rPr>
              <w:t xml:space="preserve"> </w:t>
            </w:r>
          </w:p>
        </w:tc>
      </w:tr>
      <w:tr>
        <w:trPr>
          <w:trHeight w:val="563" w:hRule="atLeast"/>
        </w:trPr>
        <w:tc>
          <w:tcPr>
            <w:tcW w:w="2834" w:type="dxa"/>
            <w:tcBorders>
              <w:top w:val="single" w:sz="4" w:color="000000"/>
              <w:left w:val="single" w:sz="4" w:color="000000"/>
              <w:bottom w:val="single" w:sz="4" w:color="000000"/>
              <w:right w:val="single" w:sz="4" w:color="000000"/>
            </w:tcBorders>
            <w:vAlign w:val="top"/>
          </w:tcPr>
          <w:p>
            <w:pPr>
              <w:tabs>
                <w:tab w:val="center" w:pos="1649"/>
              </w:tabs>
              <w:spacing w:before="0" w:after="0" w:line="259" w:lineRule="auto"/>
              <w:ind w:left="0" w:firstLine="0"/>
              <w:jc w:val="left"/>
            </w:pPr>
            <w:r>
              <w:rPr>
                <w:sz w:val="16"/>
              </w:rPr>
              <w:t xml:space="preserve">5.</w:t>
            </w:r>
            <w:r>
              <w:rPr>
                <w:rFonts w:cs="Arial" w:hAnsi="Arial" w:eastAsia="Arial" w:ascii="Arial"/>
                <w:sz w:val="16"/>
              </w:rPr>
              <w:t xml:space="preserve"> 	</w:t>
            </w:r>
            <w:r>
              <w:rPr>
                <w:sz w:val="16"/>
              </w:rPr>
              <w:t xml:space="preserve">Appui à la concertation entre </w:t>
            </w:r>
          </w:p>
          <w:p>
            <w:pPr>
              <w:spacing w:before="0" w:after="0" w:line="259" w:lineRule="auto"/>
              <w:ind w:left="720" w:firstLine="0"/>
              <w:jc w:val="left"/>
            </w:pPr>
            <w:r>
              <w:rPr>
                <w:sz w:val="16"/>
              </w:rPr>
              <w:t xml:space="preserve">institutions d‟appui (+fonds d‟études)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24"/>
              </w:rPr>
              <w:t xml:space="preserve"> </w:t>
            </w:r>
            <w:r>
              <w:rPr>
                <w:sz w:val="16"/>
              </w:rPr>
              <w:t xml:space="preserve">DEP/MEDD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60000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80000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40000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200000</w:t>
            </w:r>
            <w:r>
              <w:rPr>
                <w:rFonts w:cs="Agency FB" w:hAnsi="Agency FB" w:eastAsia="Agency FB" w:ascii="Agency FB"/>
                <w:b w:val="1"/>
                <w:sz w:val="16"/>
              </w:rPr>
              <w:t xml:space="preserve"> </w:t>
            </w:r>
          </w:p>
        </w:tc>
      </w:tr>
      <w:tr>
        <w:trPr>
          <w:trHeight w:val="238" w:hRule="atLeast"/>
        </w:trPr>
        <w:tc>
          <w:tcPr>
            <w:tcW w:w="7087" w:type="dxa"/>
            <w:gridSpan w:val="5"/>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51" w:firstLine="0"/>
              <w:jc w:val="right"/>
            </w:pPr>
            <w:r>
              <w:rPr>
                <w:rFonts w:cs="Times New Roman" w:hAnsi="Times New Roman" w:eastAsia="Times New Roman" w:ascii="Times New Roman"/>
                <w:b w:val="1"/>
                <w:i w:val="1"/>
                <w:sz w:val="20"/>
              </w:rPr>
              <w:t xml:space="preserve">Sous Total Produit</w:t>
            </w:r>
            <w:r>
              <w:rPr>
                <w:rFonts w:cs="Times New Roman" w:hAnsi="Times New Roman" w:eastAsia="Times New Roman" w:ascii="Times New Roman"/>
                <w:b w:val="1"/>
                <w:i w:val="1"/>
                <w:sz w:val="20"/>
              </w:rPr>
              <w:t xml:space="preserve">1.1</w:t>
            </w:r>
            <w:r>
              <w:rPr>
                <w:rFonts w:cs="Times New Roman" w:hAnsi="Times New Roman" w:eastAsia="Times New Roman" w:ascii="Times New Roman"/>
                <w:b w:val="1"/>
                <w:i w:val="1"/>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48" w:firstLine="0"/>
              <w:jc w:val="center"/>
            </w:pPr>
            <w:r>
              <w:rPr>
                <w:rFonts w:cs="Agency FB" w:hAnsi="Agency FB" w:eastAsia="Agency FB" w:ascii="Agency FB"/>
                <w:b w:val="1"/>
                <w:sz w:val="16"/>
              </w:rPr>
              <w:t xml:space="preserve">0</w:t>
            </w:r>
            <w:r>
              <w:rPr>
                <w:rFonts w:cs="Agency FB" w:hAnsi="Agency FB" w:eastAsia="Agency FB" w:ascii="Agency FB"/>
                <w:b w:val="1"/>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rFonts w:cs="Agency FB" w:hAnsi="Agency FB" w:eastAsia="Agency FB" w:ascii="Agency FB"/>
                <w:b w:val="1"/>
                <w:sz w:val="16"/>
              </w:rPr>
              <w:t xml:space="preserve">250000</w:t>
            </w:r>
            <w:r>
              <w:rPr>
                <w:rFonts w:cs="Agency FB" w:hAnsi="Agency FB" w:eastAsia="Agency FB" w:ascii="Agency FB"/>
                <w:b w:val="1"/>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b w:val="1"/>
                <w:sz w:val="16"/>
              </w:rPr>
              <w:t xml:space="preserve">210000</w:t>
            </w:r>
            <w:r>
              <w:rPr>
                <w:rFonts w:cs="Agency FB" w:hAnsi="Agency FB" w:eastAsia="Agency FB" w:ascii="Agency FB"/>
                <w:b w:val="1"/>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8" w:firstLine="0"/>
              <w:jc w:val="center"/>
            </w:pPr>
            <w:r>
              <w:rPr>
                <w:rFonts w:cs="Agency FB" w:hAnsi="Agency FB" w:eastAsia="Agency FB" w:ascii="Agency FB"/>
                <w:b w:val="1"/>
                <w:sz w:val="16"/>
              </w:rPr>
              <w:t xml:space="preserve">140000</w:t>
            </w:r>
            <w:r>
              <w:rPr>
                <w:rFonts w:cs="Agency FB" w:hAnsi="Agency FB" w:eastAsia="Agency FB" w:ascii="Agency FB"/>
                <w:b w:val="1"/>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48" w:firstLine="0"/>
              <w:jc w:val="center"/>
            </w:pPr>
            <w:r>
              <w:rPr>
                <w:rFonts w:cs="Agency FB" w:hAnsi="Agency FB" w:eastAsia="Agency FB" w:ascii="Agency FB"/>
                <w:b w:val="1"/>
                <w:sz w:val="16"/>
              </w:rPr>
              <w:t xml:space="preserve">20000</w:t>
            </w:r>
            <w:r>
              <w:rPr>
                <w:rFonts w:cs="Agency FB" w:hAnsi="Agency FB" w:eastAsia="Agency FB" w:ascii="Agency FB"/>
                <w:b w:val="1"/>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center"/>
            </w:pPr>
            <w:r>
              <w:rPr>
                <w:rFonts w:cs="Agency FB" w:hAnsi="Agency FB" w:eastAsia="Agency FB" w:ascii="Agency FB"/>
                <w:b w:val="1"/>
                <w:sz w:val="16"/>
              </w:rPr>
              <w:t xml:space="preserve">620000</w:t>
            </w:r>
            <w:r>
              <w:rPr>
                <w:rFonts w:cs="Agency FB" w:hAnsi="Agency FB" w:eastAsia="Agency FB" w:ascii="Agency FB"/>
                <w:b w:val="1"/>
                <w:sz w:val="16"/>
              </w:rPr>
              <w:t xml:space="preserve"> </w:t>
            </w:r>
          </w:p>
        </w:tc>
      </w:tr>
      <w:tr>
        <w:trPr>
          <w:trHeight w:val="472" w:hRule="atLeast"/>
        </w:trPr>
        <w:tc>
          <w:tcPr>
            <w:tcW w:w="14742" w:type="dxa"/>
            <w:gridSpan w:val="11"/>
            <w:tcBorders>
              <w:top w:val="single" w:sz="4" w:color="000000"/>
              <w:left w:val="single" w:sz="4" w:color="000000"/>
              <w:bottom w:val="single" w:sz="4" w:color="000000"/>
              <w:right w:val="single" w:sz="4" w:color="000000"/>
            </w:tcBorders>
            <w:vAlign w:val="top"/>
          </w:tcPr>
          <w:p>
            <w:pPr>
              <w:spacing w:before="0" w:after="0" w:line="259" w:lineRule="auto"/>
              <w:ind w:left="10" w:right="16" w:firstLine="0"/>
              <w:jc w:val="center"/>
            </w:pPr>
            <w:r>
              <w:rPr>
                <w:rFonts w:cs="Times New Roman" w:hAnsi="Times New Roman" w:eastAsia="Times New Roman" w:ascii="Times New Roman"/>
                <w:b w:val="1"/>
                <w:i w:val="1"/>
                <w:sz w:val="20"/>
              </w:rPr>
              <w:t xml:space="preserve">Produit 2. du projet</w:t>
            </w:r>
            <w:r>
              <w:rPr>
                <w:rFonts w:cs="Times New Roman" w:hAnsi="Times New Roman" w:eastAsia="Times New Roman" w:ascii="Times New Roman"/>
                <w:i w:val="1"/>
                <w:sz w:val="20"/>
              </w:rPr>
              <w:t xml:space="preserve">: Les informations pertinentes sur l’état de l’environnement sont disponibles et permettent d’assurer le suivi de la mise en œuvre des politiques environnementales au niveau décentralisé</w:t>
            </w:r>
            <w:r>
              <w:rPr>
                <w:rFonts w:cs="Arial" w:hAnsi="Arial" w:eastAsia="Arial" w:ascii="Arial"/>
                <w:b w:val="1"/>
                <w:sz w:val="20"/>
                <w:vertAlign w:val="subscript"/>
              </w:rPr>
              <w:t xml:space="preserve"> </w:t>
            </w:r>
          </w:p>
        </w:tc>
      </w:tr>
      <w:tr>
        <w:trPr>
          <w:trHeight w:val="562"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6.</w:t>
            </w:r>
            <w:r>
              <w:rPr>
                <w:rFonts w:cs="Arial" w:hAnsi="Arial" w:eastAsia="Arial" w:ascii="Arial"/>
                <w:sz w:val="16"/>
              </w:rPr>
              <w:t xml:space="preserve"> 	</w:t>
            </w:r>
            <w:r>
              <w:rPr>
                <w:sz w:val="16"/>
              </w:rPr>
              <w:t xml:space="preserve">Appui à la mise en place et fonctionnement de l‟observatoire national</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2"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150000</w:t>
            </w:r>
            <w:r>
              <w:rPr>
                <w:rFonts w:cs="Calibri" w:hAnsi="Calibri" w:eastAsia="Calibri" w:ascii="Calibri"/>
                <w:sz w:val="18"/>
              </w:rPr>
              <w:t xml:space="preserve"> </w:t>
            </w:r>
          </w:p>
        </w:tc>
      </w:tr>
      <w:tr>
        <w:trPr>
          <w:trHeight w:val="746" w:hRule="atLeast"/>
        </w:trPr>
        <w:tc>
          <w:tcPr>
            <w:tcW w:w="2834" w:type="dxa"/>
            <w:tcBorders>
              <w:top w:val="single" w:sz="4" w:color="000000"/>
              <w:left w:val="single" w:sz="4" w:color="000000"/>
              <w:bottom w:val="single" w:sz="4" w:color="000000"/>
              <w:right w:val="single" w:sz="4" w:color="000000"/>
            </w:tcBorders>
            <w:vAlign w:val="top"/>
          </w:tcPr>
          <w:p>
            <w:pPr>
              <w:spacing w:before="0" w:after="0" w:line="244" w:lineRule="auto"/>
              <w:ind w:left="720" w:hanging="720"/>
              <w:jc w:val="left"/>
            </w:pPr>
            <w:r>
              <w:rPr>
                <w:sz w:val="16"/>
              </w:rPr>
              <w:t xml:space="preserve">7.</w:t>
            </w:r>
            <w:r>
              <w:rPr>
                <w:rFonts w:cs="Arial" w:hAnsi="Arial" w:eastAsia="Arial" w:ascii="Arial"/>
                <w:sz w:val="16"/>
              </w:rPr>
              <w:t xml:space="preserve"> 	</w:t>
            </w:r>
            <w:r>
              <w:rPr>
                <w:sz w:val="16"/>
              </w:rPr>
              <w:t xml:space="preserve">Appui à la mise en place des bases de données </w:t>
            </w:r>
          </w:p>
          <w:p>
            <w:pPr>
              <w:spacing w:before="0" w:after="0" w:line="259" w:lineRule="auto"/>
              <w:ind w:left="720" w:firstLine="0"/>
              <w:jc w:val="left"/>
            </w:pPr>
            <w:r>
              <w:rPr>
                <w:sz w:val="16"/>
              </w:rPr>
              <w:t xml:space="preserve">environnementales (DEP, DES/DGCN)</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16" w:firstLine="0"/>
              <w:jc w:val="center"/>
            </w:pP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center"/>
            </w:pPr>
            <w:r>
              <w:rPr>
                <w:rFonts w:cs="Agency FB" w:hAnsi="Agency FB" w:eastAsia="Agency FB" w:ascii="Agency FB"/>
                <w:b w:val="1"/>
                <w:sz w:val="16"/>
              </w:rPr>
              <w:t xml:space="preserve">50000</w:t>
            </w:r>
            <w:r>
              <w:rPr>
                <w:rFonts w:cs="Agency FB" w:hAnsi="Agency FB" w:eastAsia="Agency FB" w:ascii="Agency FB"/>
                <w:b w:val="1"/>
                <w:sz w:val="16"/>
              </w:rPr>
              <w:t xml:space="preserve"> </w:t>
            </w:r>
          </w:p>
        </w:tc>
      </w:tr>
      <w:tr>
        <w:trPr>
          <w:trHeight w:val="377"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8.</w:t>
            </w:r>
            <w:r>
              <w:rPr>
                <w:rFonts w:cs="Arial" w:hAnsi="Arial" w:eastAsia="Arial" w:ascii="Arial"/>
                <w:sz w:val="16"/>
              </w:rPr>
              <w:t xml:space="preserve"> 	</w:t>
            </w:r>
            <w:r>
              <w:rPr>
                <w:sz w:val="16"/>
              </w:rPr>
              <w:t xml:space="preserve">Appui à l‟élaboration périodique du REEB</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right="54" w:firstLine="0"/>
              <w:jc w:val="center"/>
            </w:pPr>
            <w:r>
              <w:rPr>
                <w:sz w:val="16"/>
              </w:rPr>
              <w:t xml:space="preserve">DCIME</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25000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25000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15" w:firstLine="0"/>
              <w:jc w:val="center"/>
            </w:pPr>
            <w:r>
              <w:rPr>
                <w:rFonts w:cs="Agency FB" w:hAnsi="Agency FB" w:eastAsia="Agency FB" w:ascii="Agency FB"/>
                <w:b w:val="1"/>
                <w:sz w:val="16"/>
              </w:rPr>
              <w:t xml:space="preserve"> </w:t>
            </w:r>
          </w:p>
        </w:tc>
      </w:tr>
      <w:tr>
        <w:trPr>
          <w:trHeight w:val="565" w:hRule="atLeast"/>
        </w:trPr>
        <w:tc>
          <w:tcPr>
            <w:tcW w:w="2834" w:type="dxa"/>
            <w:tcBorders>
              <w:top w:val="single" w:sz="4" w:color="000000"/>
              <w:left w:val="single" w:sz="4" w:color="000000"/>
              <w:bottom w:val="single" w:sz="4" w:color="000000"/>
              <w:right w:val="single" w:sz="4" w:color="000000"/>
            </w:tcBorders>
            <w:vAlign w:val="top"/>
          </w:tcPr>
          <w:p>
            <w:pPr>
              <w:tabs>
                <w:tab w:val="center" w:pos="1220"/>
              </w:tabs>
              <w:spacing w:before="0" w:after="0" w:line="259" w:lineRule="auto"/>
              <w:ind w:left="0" w:firstLine="0"/>
              <w:jc w:val="left"/>
            </w:pPr>
            <w:r>
              <w:rPr>
                <w:sz w:val="16"/>
              </w:rPr>
              <w:t xml:space="preserve">9.</w:t>
            </w:r>
            <w:r>
              <w:rPr>
                <w:rFonts w:cs="Arial" w:hAnsi="Arial" w:eastAsia="Arial" w:ascii="Arial"/>
                <w:sz w:val="16"/>
              </w:rPr>
              <w:t xml:space="preserve"> 	</w:t>
            </w:r>
            <w:r>
              <w:rPr>
                <w:sz w:val="16"/>
              </w:rPr>
              <w:t xml:space="preserve">Elaboration des </w:t>
            </w:r>
          </w:p>
          <w:p>
            <w:pPr>
              <w:spacing w:before="0" w:after="0" w:line="259" w:lineRule="auto"/>
              <w:ind w:left="720" w:firstLine="0"/>
            </w:pPr>
            <w:r>
              <w:rPr>
                <w:sz w:val="16"/>
              </w:rPr>
              <w:t xml:space="preserve">Communications Nationales  DB et CC</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20"/>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18"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center"/>
            </w:pPr>
            <w:r>
              <w:rPr>
                <w:rFonts w:cs="Agency FB" w:hAnsi="Agency FB" w:eastAsia="Agency FB" w:ascii="Agency FB"/>
                <w:b w:val="1"/>
                <w:sz w:val="16"/>
              </w:rPr>
              <w:t xml:space="preserve">60000</w:t>
            </w:r>
            <w:r>
              <w:rPr>
                <w:rFonts w:cs="Agency FB" w:hAnsi="Agency FB" w:eastAsia="Agency FB" w:ascii="Agency FB"/>
                <w:b w:val="1"/>
                <w:sz w:val="16"/>
              </w:rPr>
              <w:t xml:space="preserve"> </w:t>
            </w:r>
          </w:p>
        </w:tc>
      </w:tr>
      <w:tr>
        <w:trPr>
          <w:trHeight w:val="377"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10.</w:t>
            </w:r>
            <w:r>
              <w:rPr>
                <w:rFonts w:cs="Arial" w:hAnsi="Arial" w:eastAsia="Arial" w:ascii="Arial"/>
                <w:sz w:val="16"/>
              </w:rPr>
              <w:t xml:space="preserve"> 	</w:t>
            </w:r>
            <w:r>
              <w:rPr>
                <w:sz w:val="16"/>
              </w:rPr>
              <w:t xml:space="preserve">Appui à la mise en place de systèmes d‟alerte précoces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2"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80000</w:t>
            </w:r>
            <w:r>
              <w:rPr>
                <w:rFonts w:cs="Agency FB" w:hAnsi="Agency FB" w:eastAsia="Agency FB" w:ascii="Agency FB"/>
                <w:b w:val="1"/>
                <w:sz w:val="16"/>
              </w:rPr>
              <w:t xml:space="preserve"> </w:t>
            </w:r>
          </w:p>
        </w:tc>
      </w:tr>
      <w:tr>
        <w:trPr>
          <w:trHeight w:val="240" w:hRule="atLeast"/>
        </w:trPr>
        <w:tc>
          <w:tcPr>
            <w:tcW w:w="2834" w:type="dxa"/>
            <w:tcBorders>
              <w:top w:val="single" w:sz="4" w:color="000000"/>
              <w:left w:val="single" w:sz="4" w:color="000000"/>
              <w:bottom w:val="single" w:sz="4" w:color="000000"/>
              <w:right w:val="single" w:sz="4" w:color="000000"/>
            </w:tcBorders>
            <w:vAlign w:val="top"/>
          </w:tcPr>
          <w:p>
            <w:pPr>
              <w:tabs>
                <w:tab w:val="center" w:pos="1632"/>
              </w:tabs>
              <w:spacing w:before="0" w:after="0" w:line="259" w:lineRule="auto"/>
              <w:ind w:left="0" w:firstLine="0"/>
              <w:jc w:val="left"/>
            </w:pPr>
            <w:r>
              <w:rPr>
                <w:sz w:val="18"/>
              </w:rPr>
              <w:t xml:space="preserve">11.</w:t>
            </w:r>
            <w:r>
              <w:rPr>
                <w:rFonts w:cs="Arial" w:hAnsi="Arial" w:eastAsia="Arial" w:ascii="Arial"/>
                <w:sz w:val="18"/>
              </w:rPr>
              <w:t xml:space="preserve"> 	</w:t>
            </w:r>
            <w:r>
              <w:rPr>
                <w:sz w:val="18"/>
              </w:rPr>
              <w:t xml:space="preserve">Evaluation rétrospectives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right="52" w:firstLine="0"/>
              <w:jc w:val="center"/>
            </w:pPr>
            <w:r>
              <w:rPr>
                <w:sz w:val="16"/>
              </w:rPr>
              <w:t xml:space="preserve">NEX</w:t>
            </w:r>
            <w:r>
              <w:rPr>
                <w:sz w:val="16"/>
              </w:rPr>
              <w:t xml:space="preserve">/</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51" w:firstLine="0"/>
              <w:jc w:val="center"/>
            </w:pPr>
            <w:r>
              <w:rPr>
                <w:rFonts w:cs="Agency FB" w:hAnsi="Agency FB" w:eastAsia="Agency FB" w:ascii="Agency FB"/>
                <w:sz w:val="16"/>
              </w:rPr>
              <w:t xml:space="preserve">10000</w:t>
            </w: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center"/>
            </w:pPr>
            <w:r>
              <w:rPr>
                <w:rFonts w:cs="Agency FB" w:hAnsi="Agency FB" w:eastAsia="Agency FB" w:ascii="Agency FB"/>
                <w:b w:val="1"/>
                <w:sz w:val="16"/>
              </w:rPr>
              <w:t xml:space="preserve">90000</w:t>
            </w:r>
            <w:r>
              <w:rPr>
                <w:rFonts w:cs="Agency FB" w:hAnsi="Agency FB" w:eastAsia="Agency FB" w:ascii="Agency FB"/>
                <w:sz w:val="16"/>
              </w:rPr>
              <w:t xml:space="preserve"> </w:t>
            </w:r>
          </w:p>
        </w:tc>
      </w:tr>
    </w:tbl>
    <w:p>
      <w:pPr>
        <w:spacing w:before="0" w:after="0" w:line="259" w:lineRule="auto"/>
        <w:ind w:left="-1440" w:right="12297" w:firstLine="0"/>
        <w:jc w:val="left"/>
      </w:pPr>
    </w:p>
    <w:tbl>
      <w:tblPr>
        <w:tblStyle w:val="TableGrid"/>
        <w:tblW w:w="14742" w:type="dxa"/>
        <w:tblInd w:w="-707" w:type="dxa"/>
        <w:tblCellMar>
          <w:top w:w="5" w:type="dxa"/>
          <w:left w:w="0" w:type="dxa"/>
          <w:bottom w:w="2" w:type="dxa"/>
          <w:right w:w="20" w:type="dxa"/>
        </w:tblCellMar>
      </w:tblPr>
      <w:tblGrid>
        <w:gridCol w:w="2834"/>
        <w:gridCol w:w="1135"/>
        <w:gridCol w:w="1133"/>
        <w:gridCol w:w="851"/>
        <w:gridCol w:w="1134"/>
        <w:gridCol w:w="1303"/>
        <w:gridCol w:w="1163"/>
        <w:gridCol w:w="1163"/>
        <w:gridCol w:w="1162"/>
        <w:gridCol w:w="1165"/>
        <w:gridCol w:w="1699"/>
      </w:tblGrid>
      <w:tr>
        <w:trPr>
          <w:trHeight w:val="443" w:hRule="atLeast"/>
        </w:trPr>
        <w:tc>
          <w:tcPr>
            <w:tcW w:w="2834"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center"/>
            </w:pPr>
            <w:r>
              <w:rPr>
                <w:rFonts w:cs="Times New Roman" w:hAnsi="Times New Roman" w:eastAsia="Times New Roman" w:ascii="Times New Roman"/>
                <w:b w:val="1"/>
                <w:sz w:val="20"/>
              </w:rPr>
              <w:t xml:space="preserve"> </w:t>
            </w:r>
          </w:p>
          <w:p>
            <w:pPr>
              <w:spacing w:before="0" w:after="0" w:line="259" w:lineRule="auto"/>
              <w:ind w:left="0" w:right="51" w:firstLine="0"/>
              <w:jc w:val="center"/>
            </w:pPr>
            <w:r>
              <w:rPr>
                <w:rFonts w:cs="Times New Roman" w:hAnsi="Times New Roman" w:eastAsia="Times New Roman" w:ascii="Times New Roman"/>
                <w:b w:val="1"/>
                <w:sz w:val="20"/>
              </w:rPr>
              <w:t xml:space="preserve">Produits/Activités</w:t>
            </w:r>
            <w:r>
              <w:rPr>
                <w:rFonts w:cs="Times New Roman" w:hAnsi="Times New Roman" w:eastAsia="Times New Roman" w:ascii="Times New Roman"/>
                <w:b w:val="1"/>
                <w:sz w:val="20"/>
              </w:rPr>
              <w:t xml:space="preserve"> </w:t>
            </w:r>
          </w:p>
        </w:tc>
        <w:tc>
          <w:tcPr>
            <w:tcW w:w="1135"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firstLine="0"/>
              <w:jc w:val="center"/>
            </w:pPr>
            <w:r>
              <w:rPr>
                <w:rFonts w:cs="Times New Roman" w:hAnsi="Times New Roman" w:eastAsia="Times New Roman" w:ascii="Times New Roman"/>
                <w:b w:val="1"/>
                <w:sz w:val="20"/>
              </w:rPr>
              <w:t xml:space="preserve"> </w:t>
            </w:r>
          </w:p>
          <w:p>
            <w:pPr>
              <w:spacing w:before="0" w:after="0" w:line="259" w:lineRule="auto"/>
              <w:ind w:left="0" w:right="51" w:firstLine="0"/>
              <w:jc w:val="center"/>
            </w:pPr>
            <w:r>
              <w:rPr>
                <w:rFonts w:cs="Times New Roman" w:hAnsi="Times New Roman" w:eastAsia="Times New Roman" w:ascii="Times New Roman"/>
                <w:b w:val="1"/>
                <w:sz w:val="20"/>
              </w:rPr>
              <w:t xml:space="preserve">Agences</w:t>
            </w:r>
            <w:r>
              <w:rPr>
                <w:rFonts w:cs="Times New Roman" w:hAnsi="Times New Roman" w:eastAsia="Times New Roman" w:ascii="Times New Roman"/>
                <w:b w:val="1"/>
                <w:sz w:val="20"/>
              </w:rPr>
              <w:t xml:space="preserve"> </w:t>
            </w:r>
          </w:p>
        </w:tc>
        <w:tc>
          <w:tcPr>
            <w:tcW w:w="1133"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center"/>
            </w:pPr>
            <w:r>
              <w:rPr>
                <w:rFonts w:cs="Times New Roman" w:hAnsi="Times New Roman" w:eastAsia="Times New Roman" w:ascii="Times New Roman"/>
                <w:b w:val="1"/>
                <w:sz w:val="20"/>
              </w:rPr>
              <w:t xml:space="preserve">Rubrique Budgétaire</w:t>
            </w:r>
            <w:r>
              <w:rPr>
                <w:rFonts w:cs="Times New Roman" w:hAnsi="Times New Roman" w:eastAsia="Times New Roman" w:ascii="Times New Roman"/>
                <w:b w:val="1"/>
                <w:sz w:val="20"/>
              </w:rPr>
              <w:t xml:space="preserve"> </w:t>
            </w:r>
          </w:p>
        </w:tc>
        <w:tc>
          <w:tcPr>
            <w:tcW w:w="1985" w:type="dxa"/>
            <w:gridSpan w:val="2"/>
            <w:tcBorders>
              <w:top w:val="single" w:sz="4" w:color="000000"/>
              <w:left w:val="single" w:sz="4" w:color="000000"/>
              <w:bottom w:val="single" w:sz="4" w:color="000000"/>
              <w:right w:val="single" w:sz="4" w:color="000000"/>
            </w:tcBorders>
            <w:shd w:val="clear" w:fill="d9d9d9"/>
            <w:vAlign w:val="bottom"/>
          </w:tcPr>
          <w:p>
            <w:pPr>
              <w:spacing w:before="0" w:after="0" w:line="259" w:lineRule="auto"/>
              <w:ind w:left="1" w:firstLine="0"/>
              <w:jc w:val="left"/>
            </w:pPr>
            <w:r>
              <w:rPr>
                <w:rFonts w:cs="Cambria" w:hAnsi="Cambria" w:eastAsia="Cambria" w:ascii="Cambria"/>
                <w:color w:val="404040"/>
                <w:sz w:val="20"/>
              </w:rPr>
              <w:t xml:space="preserve">Description Atlas</w:t>
            </w:r>
            <w:r>
              <w:rPr>
                <w:rFonts w:cs="Cambria" w:hAnsi="Cambria" w:eastAsia="Cambria" w:ascii="Cambria"/>
                <w:color w:val="404040"/>
                <w:sz w:val="20"/>
              </w:rPr>
              <w:t xml:space="preserve"> </w:t>
            </w:r>
          </w:p>
        </w:tc>
        <w:tc>
          <w:tcPr>
            <w:tcW w:w="5955" w:type="dxa"/>
            <w:gridSpan w:val="5"/>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3" w:firstLine="0"/>
              <w:jc w:val="center"/>
            </w:pPr>
            <w:r>
              <w:rPr>
                <w:rFonts w:cs="Times New Roman" w:hAnsi="Times New Roman" w:eastAsia="Times New Roman" w:ascii="Times New Roman"/>
                <w:b w:val="1"/>
                <w:sz w:val="20"/>
              </w:rPr>
              <w:t xml:space="preserve">Coûts par An ($.USD)</w:t>
            </w:r>
            <w:r>
              <w:rPr>
                <w:rFonts w:cs="Times New Roman" w:hAnsi="Times New Roman" w:eastAsia="Times New Roman" w:ascii="Times New Roman"/>
                <w:b w:val="1"/>
                <w:sz w:val="20"/>
              </w:rPr>
              <w:t xml:space="preserve"> </w:t>
            </w:r>
          </w:p>
        </w:tc>
        <w:tc>
          <w:tcPr>
            <w:tcW w:w="169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6" w:firstLine="0"/>
              <w:jc w:val="center"/>
            </w:pPr>
            <w:r>
              <w:rPr>
                <w:rFonts w:cs="Times New Roman" w:hAnsi="Times New Roman" w:eastAsia="Times New Roman" w:ascii="Times New Roman"/>
                <w:b w:val="1"/>
                <w:sz w:val="20"/>
              </w:rPr>
              <w:t xml:space="preserve">Coûts totaux</w:t>
            </w:r>
            <w:r>
              <w:rPr>
                <w:rFonts w:cs="Times New Roman" w:hAnsi="Times New Roman" w:eastAsia="Times New Roman" w:ascii="Times New Roman"/>
                <w:b w:val="1"/>
                <w:sz w:val="20"/>
              </w:rPr>
              <w:t xml:space="preserve"> </w:t>
            </w:r>
          </w:p>
        </w:tc>
      </w:tr>
      <w:tr>
        <w:trPr>
          <w:trHeight w:val="69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851"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0" w:firstLine="0"/>
              <w:jc w:val="center"/>
            </w:pPr>
            <w:r>
              <w:rPr>
                <w:rFonts w:cs="Times New Roman" w:hAnsi="Times New Roman" w:eastAsia="Times New Roman" w:ascii="Times New Roman"/>
                <w:b w:val="1"/>
                <w:sz w:val="20"/>
              </w:rPr>
              <w:t xml:space="preserve">Ligne</w:t>
            </w:r>
            <w:r>
              <w:rPr>
                <w:rFonts w:cs="Times New Roman" w:hAnsi="Times New Roman" w:eastAsia="Times New Roman" w:ascii="Times New Roman"/>
                <w:b w:val="1"/>
                <w:sz w:val="20"/>
              </w:rPr>
              <w:t xml:space="preserve"> </w:t>
            </w:r>
          </w:p>
        </w:tc>
        <w:tc>
          <w:tcPr>
            <w:tcW w:w="1134"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5" w:firstLine="0"/>
            </w:pPr>
            <w:r>
              <w:rPr>
                <w:rFonts w:cs="Times New Roman" w:hAnsi="Times New Roman" w:eastAsia="Times New Roman" w:ascii="Times New Roman"/>
                <w:b w:val="1"/>
                <w:sz w:val="20"/>
              </w:rPr>
              <w:t xml:space="preserve">Description</w:t>
            </w:r>
            <w:r>
              <w:rPr>
                <w:rFonts w:cs="Times New Roman" w:hAnsi="Times New Roman" w:eastAsia="Times New Roman" w:ascii="Times New Roman"/>
                <w:b w:val="1"/>
                <w:sz w:val="20"/>
              </w:rPr>
              <w:t xml:space="preserve"> </w:t>
            </w:r>
          </w:p>
        </w:tc>
        <w:tc>
          <w:tcPr>
            <w:tcW w:w="130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5" w:firstLine="0"/>
              <w:jc w:val="center"/>
            </w:pPr>
            <w:r>
              <w:rPr>
                <w:rFonts w:cs="Times New Roman" w:hAnsi="Times New Roman" w:eastAsia="Times New Roman" w:ascii="Times New Roman"/>
                <w:b w:val="1"/>
                <w:sz w:val="20"/>
              </w:rPr>
              <w:t xml:space="preserve">2011</w:t>
            </w:r>
            <w:r>
              <w:rPr>
                <w:rFonts w:cs="Times New Roman" w:hAnsi="Times New Roman" w:eastAsia="Times New Roman" w:ascii="Times New Roman"/>
                <w:b w:val="1"/>
                <w:sz w:val="20"/>
              </w:rPr>
              <w:t xml:space="preserve"> </w:t>
            </w:r>
          </w:p>
          <w:p>
            <w:pPr>
              <w:spacing w:before="0" w:after="0" w:line="259" w:lineRule="auto"/>
              <w:ind w:left="1" w:firstLine="0"/>
              <w:jc w:val="left"/>
            </w:pPr>
            <w:r>
              <w:rPr>
                <w:sz w:val="20"/>
              </w:rPr>
              <w:t xml:space="preserve"> </w:t>
            </w:r>
          </w:p>
        </w:tc>
        <w:tc>
          <w:tcPr>
            <w:tcW w:w="116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8" w:firstLine="0"/>
              <w:jc w:val="center"/>
            </w:pPr>
            <w:r>
              <w:rPr>
                <w:rFonts w:cs="Times New Roman" w:hAnsi="Times New Roman" w:eastAsia="Times New Roman" w:ascii="Times New Roman"/>
                <w:b w:val="1"/>
                <w:sz w:val="20"/>
              </w:rPr>
              <w:t xml:space="preserve">2012</w:t>
            </w:r>
            <w:r>
              <w:rPr>
                <w:rFonts w:cs="Times New Roman" w:hAnsi="Times New Roman" w:eastAsia="Times New Roman" w:ascii="Times New Roman"/>
                <w:b w:val="1"/>
                <w:sz w:val="20"/>
              </w:rPr>
              <w:t xml:space="preserve"> </w:t>
            </w:r>
          </w:p>
          <w:p>
            <w:pPr>
              <w:spacing w:before="0" w:after="0" w:line="259" w:lineRule="auto"/>
              <w:ind w:left="3" w:firstLine="0"/>
              <w:jc w:val="center"/>
            </w:pPr>
            <w:r>
              <w:rPr>
                <w:sz w:val="20"/>
              </w:rPr>
              <w:t xml:space="preserve"> </w:t>
            </w:r>
          </w:p>
        </w:tc>
        <w:tc>
          <w:tcPr>
            <w:tcW w:w="116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6" w:firstLine="0"/>
              <w:jc w:val="center"/>
            </w:pPr>
            <w:r>
              <w:rPr>
                <w:rFonts w:cs="Times New Roman" w:hAnsi="Times New Roman" w:eastAsia="Times New Roman" w:ascii="Times New Roman"/>
                <w:b w:val="1"/>
                <w:sz w:val="20"/>
              </w:rPr>
              <w:t xml:space="preserve">2013</w:t>
            </w:r>
            <w:r>
              <w:rPr>
                <w:rFonts w:cs="Times New Roman" w:hAnsi="Times New Roman" w:eastAsia="Times New Roman" w:ascii="Times New Roman"/>
                <w:b w:val="1"/>
                <w:sz w:val="20"/>
              </w:rPr>
              <w:t xml:space="preserve"> </w:t>
            </w:r>
          </w:p>
          <w:p>
            <w:pPr>
              <w:spacing w:before="0" w:after="0" w:line="259" w:lineRule="auto"/>
              <w:ind w:left="2" w:firstLine="0"/>
              <w:jc w:val="left"/>
            </w:pPr>
            <w:r>
              <w:rPr>
                <w:sz w:val="20"/>
              </w:rPr>
              <w:t xml:space="preserve"> </w:t>
            </w:r>
          </w:p>
        </w:tc>
        <w:tc>
          <w:tcPr>
            <w:tcW w:w="1162"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47" w:firstLine="0"/>
              <w:jc w:val="center"/>
            </w:pPr>
            <w:r>
              <w:rPr>
                <w:rFonts w:cs="Times New Roman" w:hAnsi="Times New Roman" w:eastAsia="Times New Roman" w:ascii="Times New Roman"/>
                <w:b w:val="1"/>
                <w:sz w:val="20"/>
              </w:rPr>
              <w:t xml:space="preserve">2014</w:t>
            </w:r>
            <w:r>
              <w:rPr>
                <w:rFonts w:cs="Times New Roman" w:hAnsi="Times New Roman" w:eastAsia="Times New Roman" w:ascii="Times New Roman"/>
                <w:b w:val="1"/>
                <w:sz w:val="20"/>
              </w:rPr>
              <w:t xml:space="preserve"> </w:t>
            </w:r>
          </w:p>
          <w:p>
            <w:pPr>
              <w:spacing w:before="0" w:after="0" w:line="259" w:lineRule="auto"/>
              <w:ind w:left="1" w:firstLine="0"/>
              <w:jc w:val="left"/>
            </w:pPr>
            <w:r>
              <w:rPr>
                <w:sz w:val="20"/>
              </w:rPr>
              <w:t xml:space="preserve"> </w:t>
            </w:r>
          </w:p>
        </w:tc>
        <w:tc>
          <w:tcPr>
            <w:tcW w:w="1165"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50" w:firstLine="0"/>
              <w:jc w:val="center"/>
            </w:pPr>
            <w:r>
              <w:rPr>
                <w:rFonts w:cs="Times New Roman" w:hAnsi="Times New Roman" w:eastAsia="Times New Roman" w:ascii="Times New Roman"/>
                <w:b w:val="1"/>
                <w:sz w:val="20"/>
              </w:rPr>
              <w:t xml:space="preserve">2015</w:t>
            </w:r>
            <w:r>
              <w:rPr>
                <w:rFonts w:cs="Times New Roman" w:hAnsi="Times New Roman" w:eastAsia="Times New Roman" w:ascii="Times New Roman"/>
                <w:b w:val="1"/>
                <w:sz w:val="20"/>
              </w:rPr>
              <w:t xml:space="preserve"> </w:t>
            </w:r>
          </w:p>
          <w:p>
            <w:pPr>
              <w:spacing w:before="0" w:after="0" w:line="259" w:lineRule="auto"/>
              <w:ind w:left="1" w:firstLine="0"/>
              <w:jc w:val="left"/>
            </w:pPr>
            <w:r>
              <w:rPr>
                <w:sz w:val="20"/>
              </w:rPr>
              <w:t xml:space="preserve"> </w:t>
            </w:r>
          </w:p>
        </w:tc>
        <w:tc>
          <w:tcPr>
            <w:tcW w:w="169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firstLine="0"/>
              <w:jc w:val="left"/>
            </w:pPr>
            <w:r>
              <w:rPr>
                <w:rFonts w:cs="Times New Roman" w:hAnsi="Times New Roman" w:eastAsia="Times New Roman" w:ascii="Times New Roman"/>
                <w:b w:val="1"/>
                <w:sz w:val="20"/>
              </w:rPr>
              <w:t xml:space="preserve"> </w:t>
            </w:r>
          </w:p>
        </w:tc>
      </w:tr>
      <w:tr>
        <w:trPr>
          <w:trHeight w:val="406"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firstLine="0"/>
              <w:jc w:val="left"/>
            </w:pPr>
            <w:r>
              <w:rPr>
                <w:sz w:val="16"/>
              </w:rPr>
              <w:t xml:space="preserve">environnementales</w:t>
            </w:r>
            <w:r>
              <w:rPr>
                <w:sz w:val="18"/>
              </w:rPr>
              <w:t xml:space="preserve"> </w:t>
            </w:r>
            <w:r>
              <w:rPr>
                <w:sz w:val="18"/>
              </w:rPr>
              <w:t xml:space="preserve">stratégiques</w:t>
            </w:r>
            <w:r>
              <w:rPr>
                <w:sz w:val="18"/>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54" w:firstLine="0"/>
              <w:jc w:val="left"/>
            </w:pP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85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3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5"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9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59" w:hRule="atLeast"/>
        </w:trPr>
        <w:tc>
          <w:tcPr>
            <w:tcW w:w="7087" w:type="dxa"/>
            <w:gridSpan w:val="5"/>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49" w:firstLine="0"/>
              <w:jc w:val="center"/>
            </w:pPr>
            <w:r>
              <w:rPr>
                <w:rFonts w:cs="Times New Roman" w:hAnsi="Times New Roman" w:eastAsia="Times New Roman" w:ascii="Times New Roman"/>
                <w:b w:val="1"/>
              </w:rPr>
              <w:t xml:space="preserve">Sous total produit 2</w:t>
            </w: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right"/>
            </w:pPr>
            <w:r>
              <w:rPr>
                <w:rFonts w:cs="Calibri" w:hAnsi="Calibri" w:eastAsia="Calibri" w:ascii="Calibri"/>
                <w:b w:val="1"/>
                <w:sz w:val="18"/>
              </w:rPr>
              <w:t xml:space="preserve">0</w:t>
            </w:r>
            <w:r>
              <w:rPr>
                <w:rFonts w:cs="Calibri" w:hAnsi="Calibri" w:eastAsia="Calibri" w:ascii="Calibri"/>
                <w:b w:val="1"/>
                <w:sz w:val="18"/>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9" w:firstLine="0"/>
              <w:jc w:val="right"/>
            </w:pPr>
            <w:r>
              <w:rPr>
                <w:rFonts w:cs="Calibri" w:hAnsi="Calibri" w:eastAsia="Calibri" w:ascii="Calibri"/>
                <w:b w:val="1"/>
                <w:sz w:val="18"/>
              </w:rPr>
              <w:t xml:space="preserve">255000</w:t>
            </w:r>
            <w:r>
              <w:rPr>
                <w:rFonts w:cs="Calibri" w:hAnsi="Calibri" w:eastAsia="Calibri" w:ascii="Calibri"/>
                <w:b w:val="1"/>
                <w:sz w:val="18"/>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right"/>
            </w:pPr>
            <w:r>
              <w:rPr>
                <w:rFonts w:cs="Calibri" w:hAnsi="Calibri" w:eastAsia="Calibri" w:ascii="Calibri"/>
                <w:b w:val="1"/>
                <w:sz w:val="18"/>
              </w:rPr>
              <w:t xml:space="preserve">165000</w:t>
            </w:r>
            <w:r>
              <w:rPr>
                <w:rFonts w:cs="Calibri" w:hAnsi="Calibri" w:eastAsia="Calibri" w:ascii="Calibri"/>
                <w:b w:val="1"/>
                <w:sz w:val="18"/>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right"/>
            </w:pPr>
            <w:r>
              <w:rPr>
                <w:rFonts w:cs="Calibri" w:hAnsi="Calibri" w:eastAsia="Calibri" w:ascii="Calibri"/>
                <w:b w:val="1"/>
                <w:sz w:val="18"/>
              </w:rPr>
              <w:t xml:space="preserve">20000</w:t>
            </w:r>
            <w:r>
              <w:rPr>
                <w:rFonts w:cs="Calibri" w:hAnsi="Calibri" w:eastAsia="Calibri" w:ascii="Calibri"/>
                <w:b w:val="1"/>
                <w:sz w:val="18"/>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right"/>
            </w:pPr>
            <w:r>
              <w:rPr>
                <w:rFonts w:cs="Calibri" w:hAnsi="Calibri" w:eastAsia="Calibri" w:ascii="Calibri"/>
                <w:b w:val="1"/>
                <w:sz w:val="18"/>
              </w:rPr>
              <w:t xml:space="preserve">40000</w:t>
            </w:r>
            <w:r>
              <w:rPr>
                <w:rFonts w:cs="Calibri" w:hAnsi="Calibri" w:eastAsia="Calibri" w:ascii="Calibri"/>
                <w:b w:val="1"/>
                <w:sz w:val="18"/>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right"/>
            </w:pPr>
            <w:r>
              <w:rPr>
                <w:rFonts w:cs="Calibri" w:hAnsi="Calibri" w:eastAsia="Calibri" w:ascii="Calibri"/>
                <w:b w:val="1"/>
                <w:sz w:val="18"/>
              </w:rPr>
              <w:t xml:space="preserve">480000</w:t>
            </w:r>
            <w:r>
              <w:rPr>
                <w:rFonts w:cs="Calibri" w:hAnsi="Calibri" w:eastAsia="Calibri" w:ascii="Calibri"/>
                <w:b w:val="1"/>
                <w:sz w:val="18"/>
              </w:rPr>
              <w:t xml:space="preserve"> </w:t>
            </w:r>
          </w:p>
        </w:tc>
      </w:tr>
      <w:tr>
        <w:trPr>
          <w:trHeight w:val="494" w:hRule="atLeast"/>
        </w:trPr>
        <w:tc>
          <w:tcPr>
            <w:tcW w:w="14742" w:type="dxa"/>
            <w:gridSpan w:val="11"/>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rFonts w:cs="Times New Roman" w:hAnsi="Times New Roman" w:eastAsia="Times New Roman" w:ascii="Times New Roman"/>
                <w:b w:val="1"/>
              </w:rPr>
              <w:t xml:space="preserve">Produit 3 du projet</w:t>
            </w:r>
            <w:r>
              <w:rPr>
                <w:rFonts w:cs="Times New Roman" w:hAnsi="Times New Roman" w:eastAsia="Times New Roman" w:ascii="Times New Roman"/>
                <w:b w:val="1"/>
                <w:i w:val="1"/>
              </w:rPr>
              <w:t xml:space="preserve">:</w:t>
            </w:r>
            <w:r>
              <w:rPr>
                <w:rFonts w:cs="Times New Roman" w:hAnsi="Times New Roman" w:eastAsia="Times New Roman" w:ascii="Times New Roman"/>
                <w:b w:val="1"/>
                <w:i w:val="1"/>
              </w:rPr>
              <w:t xml:space="preserve"> </w:t>
            </w:r>
            <w:r>
              <w:rPr>
                <w:rFonts w:cs="Times New Roman" w:hAnsi="Times New Roman" w:eastAsia="Times New Roman" w:ascii="Times New Roman"/>
                <w:i w:val="1"/>
                <w:sz w:val="20"/>
              </w:rPr>
              <w:t xml:space="preserve">Des plans locaux de développement  résilients aux changements climatiques et orientés vers une faible émission de GES et des chartes locales de GRN sont adoptés </w:t>
            </w:r>
            <w:r>
              <w:rPr>
                <w:rFonts w:cs="Times New Roman" w:hAnsi="Times New Roman" w:eastAsia="Times New Roman" w:ascii="Times New Roman"/>
                <w:i w:val="1"/>
                <w:sz w:val="20"/>
              </w:rPr>
              <w:t xml:space="preserve"> </w:t>
            </w:r>
          </w:p>
        </w:tc>
      </w:tr>
      <w:tr>
        <w:trPr>
          <w:trHeight w:val="746" w:hRule="atLeast"/>
        </w:trPr>
        <w:tc>
          <w:tcPr>
            <w:tcW w:w="2834" w:type="dxa"/>
            <w:tcBorders>
              <w:top w:val="single" w:sz="4" w:color="000000"/>
              <w:left w:val="single" w:sz="4" w:color="000000"/>
              <w:bottom w:val="single" w:sz="4" w:color="000000"/>
              <w:right w:val="single" w:sz="4" w:color="000000"/>
            </w:tcBorders>
            <w:vAlign w:val="top"/>
          </w:tcPr>
          <w:p>
            <w:pPr>
              <w:tabs>
                <w:tab w:val="center" w:pos="169"/>
                <w:tab w:val="center" w:pos="1628"/>
              </w:tabs>
              <w:spacing w:before="0" w:after="7" w:line="259" w:lineRule="auto"/>
              <w:ind w:left="0" w:firstLine="0"/>
              <w:jc w:val="left"/>
            </w:pPr>
            <w:r>
              <w:rPr>
                <w:rFonts w:cs="Calibri" w:hAnsi="Calibri" w:eastAsia="Calibri" w:ascii="Calibri"/>
                <w:sz w:val="22"/>
              </w:rPr>
              <w:t xml:space="preserve">	</w:t>
            </w:r>
            <w:r>
              <w:rPr>
                <w:sz w:val="16"/>
              </w:rPr>
              <w:t xml:space="preserve">12.</w:t>
            </w:r>
            <w:r>
              <w:rPr>
                <w:rFonts w:cs="Arial" w:hAnsi="Arial" w:eastAsia="Arial" w:ascii="Arial"/>
                <w:sz w:val="16"/>
              </w:rPr>
              <w:t xml:space="preserve"> 	</w:t>
            </w:r>
            <w:r>
              <w:rPr>
                <w:sz w:val="16"/>
              </w:rPr>
              <w:t xml:space="preserve">Appui à l‟élaboration et la </w:t>
            </w:r>
          </w:p>
          <w:p>
            <w:pPr>
              <w:spacing w:before="0" w:after="0" w:line="259" w:lineRule="auto"/>
              <w:ind w:left="720" w:firstLine="0"/>
              <w:jc w:val="left"/>
            </w:pPr>
            <w:r>
              <w:rPr>
                <w:sz w:val="16"/>
              </w:rPr>
              <w:t xml:space="preserve">mise en œuvre de plans de développement des capacités des collectivités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b w:val="1"/>
                <w:sz w:val="18"/>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6" w:firstLine="0"/>
              <w:jc w:val="center"/>
            </w:pPr>
            <w:r>
              <w:rPr>
                <w:rFonts w:cs="Agency FB" w:hAnsi="Agency FB" w:eastAsia="Agency FB" w:ascii="Agency FB"/>
                <w:b w:val="1"/>
                <w:sz w:val="16"/>
              </w:rPr>
              <w:t xml:space="preserve">150000</w:t>
            </w:r>
            <w:r>
              <w:rPr>
                <w:rFonts w:cs="Agency FB" w:hAnsi="Agency FB" w:eastAsia="Agency FB" w:ascii="Agency FB"/>
                <w:b w:val="1"/>
                <w:sz w:val="16"/>
              </w:rPr>
              <w:t xml:space="preserve"> </w:t>
            </w:r>
          </w:p>
        </w:tc>
      </w:tr>
      <w:tr>
        <w:trPr>
          <w:trHeight w:val="931" w:hRule="atLeast"/>
        </w:trPr>
        <w:tc>
          <w:tcPr>
            <w:tcW w:w="2834" w:type="dxa"/>
            <w:tcBorders>
              <w:top w:val="single" w:sz="4" w:color="000000"/>
              <w:left w:val="single" w:sz="4" w:color="000000"/>
              <w:bottom w:val="single" w:sz="4" w:color="000000"/>
              <w:right w:val="single" w:sz="4" w:color="000000"/>
            </w:tcBorders>
            <w:vAlign w:val="top"/>
          </w:tcPr>
          <w:p>
            <w:pPr>
              <w:tabs>
                <w:tab w:val="center" w:pos="169"/>
                <w:tab w:val="center" w:pos="1579"/>
              </w:tabs>
              <w:spacing w:before="0" w:after="0" w:line="259" w:lineRule="auto"/>
              <w:ind w:left="0" w:firstLine="0"/>
              <w:jc w:val="left"/>
            </w:pPr>
            <w:r>
              <w:rPr>
                <w:rFonts w:cs="Calibri" w:hAnsi="Calibri" w:eastAsia="Calibri" w:ascii="Calibri"/>
                <w:sz w:val="22"/>
              </w:rPr>
              <w:t xml:space="preserve">	</w:t>
            </w:r>
            <w:r>
              <w:rPr>
                <w:sz w:val="16"/>
              </w:rPr>
              <w:t xml:space="preserve">13.</w:t>
            </w:r>
            <w:r>
              <w:rPr>
                <w:rFonts w:cs="Arial" w:hAnsi="Arial" w:eastAsia="Arial" w:ascii="Arial"/>
                <w:sz w:val="16"/>
              </w:rPr>
              <w:t xml:space="preserve"> 	</w:t>
            </w:r>
            <w:r>
              <w:rPr>
                <w:sz w:val="16"/>
              </w:rPr>
              <w:t xml:space="preserve">Formation des structures </w:t>
            </w:r>
          </w:p>
          <w:p>
            <w:pPr>
              <w:spacing w:before="0" w:after="0" w:line="259" w:lineRule="auto"/>
              <w:ind w:left="720" w:firstLine="0"/>
              <w:jc w:val="left"/>
            </w:pPr>
            <w:r>
              <w:rPr>
                <w:sz w:val="16"/>
              </w:rPr>
              <w:t xml:space="preserve">d‟appui</w:t>
            </w:r>
            <w:r>
              <w:rPr>
                <w:sz w:val="16"/>
              </w:rPr>
              <w:t xml:space="preserve">-</w:t>
            </w:r>
            <w:r>
              <w:rPr>
                <w:sz w:val="16"/>
              </w:rPr>
              <w:t xml:space="preserve">Conseil (outils de mainstreaming et méthodologie d‟élaboration des chartes locales)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5"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4"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2" w:firstLine="0"/>
              <w:jc w:val="center"/>
            </w:pPr>
            <w:r>
              <w:rPr>
                <w:rFonts w:cs="Agency FB" w:hAnsi="Agency FB" w:eastAsia="Agency FB" w:ascii="Agency FB"/>
                <w:sz w:val="16"/>
              </w:rPr>
              <w:t xml:space="preserve">15000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3" w:firstLine="0"/>
              <w:jc w:val="center"/>
            </w:pPr>
            <w:r>
              <w:rPr>
                <w:rFonts w:cs="Agency FB" w:hAnsi="Agency FB" w:eastAsia="Agency FB" w:ascii="Agency FB"/>
                <w:sz w:val="16"/>
              </w:rPr>
              <w:t xml:space="preserve">15000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50000</w:t>
            </w:r>
            <w:r>
              <w:rPr>
                <w:rFonts w:cs="Agency FB" w:hAnsi="Agency FB" w:eastAsia="Agency FB" w:ascii="Agency FB"/>
                <w:b w:val="1"/>
                <w:sz w:val="16"/>
              </w:rPr>
              <w:t xml:space="preserve"> </w:t>
            </w:r>
          </w:p>
        </w:tc>
      </w:tr>
      <w:tr>
        <w:trPr>
          <w:trHeight w:val="746" w:hRule="atLeast"/>
        </w:trPr>
        <w:tc>
          <w:tcPr>
            <w:tcW w:w="2834" w:type="dxa"/>
            <w:tcBorders>
              <w:top w:val="single" w:sz="4" w:color="000000"/>
              <w:left w:val="single" w:sz="4" w:color="000000"/>
              <w:bottom w:val="single" w:sz="4" w:color="000000"/>
              <w:right w:val="single" w:sz="4" w:color="000000"/>
            </w:tcBorders>
            <w:vAlign w:val="top"/>
          </w:tcPr>
          <w:p>
            <w:pPr>
              <w:tabs>
                <w:tab w:val="center" w:pos="169"/>
                <w:tab w:val="center" w:pos="1582"/>
              </w:tabs>
              <w:spacing w:before="0" w:after="0" w:line="259" w:lineRule="auto"/>
              <w:ind w:left="0" w:firstLine="0"/>
              <w:jc w:val="left"/>
            </w:pPr>
            <w:r>
              <w:rPr>
                <w:rFonts w:cs="Calibri" w:hAnsi="Calibri" w:eastAsia="Calibri" w:ascii="Calibri"/>
                <w:sz w:val="22"/>
              </w:rPr>
              <w:t xml:space="preserve">	</w:t>
            </w:r>
            <w:r>
              <w:rPr>
                <w:sz w:val="16"/>
              </w:rPr>
              <w:t xml:space="preserve">14.</w:t>
            </w:r>
            <w:r>
              <w:rPr>
                <w:rFonts w:cs="Arial" w:hAnsi="Arial" w:eastAsia="Arial" w:ascii="Arial"/>
                <w:sz w:val="16"/>
              </w:rPr>
              <w:t xml:space="preserve"> 	</w:t>
            </w:r>
            <w:r>
              <w:rPr>
                <w:sz w:val="16"/>
              </w:rPr>
              <w:t xml:space="preserve">Adaptation/diffusion des </w:t>
            </w:r>
          </w:p>
          <w:p>
            <w:pPr>
              <w:spacing w:before="0" w:after="2" w:line="235" w:lineRule="auto"/>
              <w:ind w:left="720" w:firstLine="0"/>
            </w:pPr>
            <w:r>
              <w:rPr>
                <w:sz w:val="16"/>
              </w:rPr>
              <w:t xml:space="preserve">outils d‟analyse de vulnérabilité et de </w:t>
            </w:r>
          </w:p>
          <w:p>
            <w:pPr>
              <w:spacing w:before="0" w:after="0" w:line="259" w:lineRule="auto"/>
              <w:ind w:left="0" w:right="62" w:firstLine="0"/>
              <w:jc w:val="right"/>
            </w:pPr>
            <w:r>
              <w:rPr>
                <w:sz w:val="16"/>
              </w:rPr>
              <w:t xml:space="preserve">mainstreaming au niveau local</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4"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bottom"/>
          </w:tcPr>
          <w:p>
            <w:pPr>
              <w:spacing w:before="0" w:after="0" w:line="259" w:lineRule="auto"/>
              <w:ind w:left="0" w:right="45" w:firstLine="0"/>
              <w:jc w:val="center"/>
            </w:pPr>
            <w:r>
              <w:rPr>
                <w:rFonts w:cs="Agency FB" w:hAnsi="Agency FB" w:eastAsia="Agency FB" w:ascii="Agency FB"/>
                <w:sz w:val="16"/>
              </w:rPr>
              <w:t xml:space="preserve">10000</w:t>
            </w:r>
            <w:r>
              <w:rPr>
                <w:rFonts w:cs="Calibri" w:hAnsi="Calibri" w:eastAsia="Calibri" w:ascii="Calibri"/>
              </w:rPr>
              <w:t xml:space="preserve"> </w:t>
            </w:r>
          </w:p>
        </w:tc>
        <w:tc>
          <w:tcPr>
            <w:tcW w:w="1162"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40000</w:t>
            </w:r>
            <w:r>
              <w:rPr>
                <w:rFonts w:cs="Agency FB" w:hAnsi="Agency FB" w:eastAsia="Agency FB" w:ascii="Agency FB"/>
                <w:b w:val="1"/>
                <w:sz w:val="16"/>
              </w:rPr>
              <w:t xml:space="preserve"> </w:t>
            </w:r>
          </w:p>
        </w:tc>
      </w:tr>
      <w:tr>
        <w:trPr>
          <w:trHeight w:val="377"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pPr>
            <w:r>
              <w:rPr>
                <w:sz w:val="16"/>
              </w:rPr>
              <w:t xml:space="preserve">15.</w:t>
            </w:r>
            <w:r>
              <w:rPr>
                <w:rFonts w:cs="Arial" w:hAnsi="Arial" w:eastAsia="Arial" w:ascii="Arial"/>
                <w:sz w:val="16"/>
              </w:rPr>
              <w:t xml:space="preserve"> </w:t>
            </w:r>
            <w:r>
              <w:rPr>
                <w:sz w:val="16"/>
              </w:rPr>
              <w:t xml:space="preserve">Capitalisation et diffusion des bonnes pratiques </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4" w:firstLine="0"/>
              <w:jc w:val="center"/>
            </w:pPr>
            <w:r>
              <w:rPr>
                <w:rFonts w:cs="Agency FB" w:hAnsi="Agency FB" w:eastAsia="Agency FB" w:ascii="Agency FB"/>
                <w:sz w:val="16"/>
              </w:rPr>
              <w:t xml:space="preserve">60000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rFonts w:cs="Calibri" w:hAnsi="Calibri" w:eastAsia="Calibri" w:ascii="Calibri"/>
              </w:rPr>
              <w:t xml:space="preserve"> </w:t>
            </w:r>
            <w:r>
              <w:rPr>
                <w:rFonts w:cs="Agency FB" w:hAnsi="Agency FB" w:eastAsia="Agency FB" w:ascii="Agency FB"/>
                <w:sz w:val="16"/>
              </w:rPr>
              <w:t xml:space="preserve">40000</w:t>
            </w:r>
            <w:r>
              <w:rPr>
                <w:rFonts w:cs="Calibri" w:hAnsi="Calibri" w:eastAsia="Calibri" w:ascii="Calibri"/>
              </w:rPr>
              <w:t xml:space="preserve"> </w:t>
            </w:r>
          </w:p>
        </w:tc>
        <w:tc>
          <w:tcPr>
            <w:tcW w:w="1162"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100000</w:t>
            </w:r>
            <w:r>
              <w:rPr>
                <w:rFonts w:cs="Agency FB" w:hAnsi="Agency FB" w:eastAsia="Agency FB" w:ascii="Agency FB"/>
                <w:b w:val="1"/>
                <w:sz w:val="16"/>
              </w:rPr>
              <w:t xml:space="preserve"> </w:t>
            </w:r>
          </w:p>
        </w:tc>
      </w:tr>
      <w:tr>
        <w:trPr>
          <w:trHeight w:val="746"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16.</w:t>
            </w:r>
            <w:r>
              <w:rPr>
                <w:rFonts w:cs="Arial" w:hAnsi="Arial" w:eastAsia="Arial" w:ascii="Arial"/>
                <w:sz w:val="16"/>
              </w:rPr>
              <w:t xml:space="preserve"> 	</w:t>
            </w:r>
            <w:r>
              <w:rPr>
                <w:sz w:val="16"/>
              </w:rPr>
              <w:t xml:space="preserve">Appui à l‟intégration de la dimension changements climatiques dans les  plans locaux de développement </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5"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4" w:firstLine="0"/>
              <w:jc w:val="center"/>
            </w:pPr>
            <w:r>
              <w:rPr>
                <w:rFonts w:cs="Agency FB" w:hAnsi="Agency FB" w:eastAsia="Agency FB" w:ascii="Agency FB"/>
                <w:sz w:val="16"/>
              </w:rPr>
              <w:t xml:space="preserve">60000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rFonts w:cs="Agency FB" w:hAnsi="Agency FB" w:eastAsia="Agency FB" w:ascii="Agency FB"/>
                <w:sz w:val="16"/>
              </w:rPr>
              <w:t xml:space="preserve">40000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5" w:firstLine="0"/>
              <w:jc w:val="center"/>
            </w:pPr>
            <w:r>
              <w:rPr>
                <w:rFonts w:cs="Agency FB" w:hAnsi="Agency FB" w:eastAsia="Agency FB" w:ascii="Agency FB"/>
                <w:b w:val="1"/>
                <w:sz w:val="16"/>
              </w:rPr>
              <w:t xml:space="preserve">150000</w:t>
            </w:r>
            <w:r>
              <w:rPr>
                <w:rFonts w:cs="Agency FB" w:hAnsi="Agency FB" w:eastAsia="Agency FB" w:ascii="Agency FB"/>
                <w:b w:val="1"/>
                <w:sz w:val="16"/>
              </w:rPr>
              <w:t xml:space="preserve"> </w:t>
            </w:r>
          </w:p>
        </w:tc>
      </w:tr>
      <w:tr>
        <w:trPr>
          <w:trHeight w:val="379"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17.</w:t>
            </w:r>
            <w:r>
              <w:rPr>
                <w:rFonts w:cs="Arial" w:hAnsi="Arial" w:eastAsia="Arial" w:ascii="Arial"/>
                <w:sz w:val="16"/>
              </w:rPr>
              <w:t xml:space="preserve"> 	</w:t>
            </w:r>
            <w:r>
              <w:rPr>
                <w:sz w:val="16"/>
              </w:rPr>
              <w:t xml:space="preserve">Appui à l‟élaboration de chartes locales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10000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2"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3"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50000</w:t>
            </w:r>
            <w:r>
              <w:rPr>
                <w:rFonts w:cs="Agency FB" w:hAnsi="Agency FB" w:eastAsia="Agency FB" w:ascii="Agency FB"/>
                <w:b w:val="1"/>
                <w:sz w:val="16"/>
              </w:rPr>
              <w:t xml:space="preserve"> </w:t>
            </w:r>
          </w:p>
        </w:tc>
      </w:tr>
      <w:tr>
        <w:trPr>
          <w:trHeight w:val="236" w:hRule="atLeast"/>
        </w:trPr>
        <w:tc>
          <w:tcPr>
            <w:tcW w:w="7087" w:type="dxa"/>
            <w:gridSpan w:val="5"/>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47" w:firstLine="0"/>
              <w:jc w:val="center"/>
            </w:pPr>
            <w:r>
              <w:rPr>
                <w:rFonts w:cs="Times New Roman" w:hAnsi="Times New Roman" w:eastAsia="Times New Roman" w:ascii="Times New Roman"/>
                <w:b w:val="1"/>
                <w:sz w:val="20"/>
              </w:rPr>
              <w:t xml:space="preserve">Sous</w:t>
            </w:r>
            <w:r>
              <w:rPr>
                <w:rFonts w:cs="Times New Roman" w:hAnsi="Times New Roman" w:eastAsia="Times New Roman" w:ascii="Times New Roman"/>
                <w:b w:val="1"/>
                <w:sz w:val="20"/>
              </w:rPr>
              <w:t xml:space="preserve">-</w:t>
            </w:r>
            <w:r>
              <w:rPr>
                <w:rFonts w:cs="Times New Roman" w:hAnsi="Times New Roman" w:eastAsia="Times New Roman" w:ascii="Times New Roman"/>
                <w:b w:val="1"/>
                <w:sz w:val="20"/>
              </w:rPr>
              <w:t xml:space="preserve">total</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Produit 3</w:t>
            </w:r>
            <w:r>
              <w:rPr>
                <w:rFonts w:cs="Times New Roman" w:hAnsi="Times New Roman" w:eastAsia="Times New Roman" w:ascii="Times New Roman"/>
                <w:b w:val="1"/>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right"/>
            </w:pPr>
            <w:r>
              <w:rPr>
                <w:rFonts w:cs="Calibri" w:hAnsi="Calibri" w:eastAsia="Calibri" w:ascii="Calibri"/>
                <w:b w:val="1"/>
                <w:sz w:val="16"/>
              </w:rPr>
              <w:t xml:space="preserve">0</w:t>
            </w:r>
            <w:r>
              <w:rPr>
                <w:rFonts w:cs="Calibri" w:hAnsi="Calibri" w:eastAsia="Calibri" w:ascii="Calibri"/>
                <w:b w:val="1"/>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right"/>
            </w:pPr>
            <w:r>
              <w:rPr>
                <w:rFonts w:cs="Calibri" w:hAnsi="Calibri" w:eastAsia="Calibri" w:ascii="Calibri"/>
                <w:b w:val="1"/>
                <w:sz w:val="16"/>
              </w:rPr>
              <w:t xml:space="preserve">230000</w:t>
            </w:r>
            <w:r>
              <w:rPr>
                <w:rFonts w:cs="Calibri" w:hAnsi="Calibri" w:eastAsia="Calibri" w:ascii="Calibri"/>
                <w:b w:val="1"/>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right"/>
            </w:pPr>
            <w:r>
              <w:rPr>
                <w:rFonts w:cs="Calibri" w:hAnsi="Calibri" w:eastAsia="Calibri" w:ascii="Calibri"/>
                <w:b w:val="1"/>
                <w:sz w:val="16"/>
              </w:rPr>
              <w:t xml:space="preserve">185000</w:t>
            </w:r>
            <w:r>
              <w:rPr>
                <w:rFonts w:cs="Calibri" w:hAnsi="Calibri" w:eastAsia="Calibri" w:ascii="Calibri"/>
                <w:b w:val="1"/>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right"/>
            </w:pPr>
            <w:r>
              <w:rPr>
                <w:rFonts w:cs="Calibri" w:hAnsi="Calibri" w:eastAsia="Calibri" w:ascii="Calibri"/>
                <w:b w:val="1"/>
                <w:sz w:val="16"/>
              </w:rPr>
              <w:t xml:space="preserve">125000</w:t>
            </w:r>
            <w:r>
              <w:rPr>
                <w:rFonts w:cs="Calibri" w:hAnsi="Calibri" w:eastAsia="Calibri" w:ascii="Calibri"/>
                <w:b w:val="1"/>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right"/>
            </w:pPr>
            <w:r>
              <w:rPr>
                <w:rFonts w:cs="Calibri" w:hAnsi="Calibri" w:eastAsia="Calibri" w:ascii="Calibri"/>
                <w:b w:val="1"/>
                <w:sz w:val="16"/>
              </w:rPr>
              <w:t xml:space="preserve">0</w:t>
            </w:r>
            <w:r>
              <w:rPr>
                <w:rFonts w:cs="Calibri" w:hAnsi="Calibri" w:eastAsia="Calibri" w:ascii="Calibri"/>
                <w:b w:val="1"/>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right"/>
            </w:pPr>
            <w:r>
              <w:rPr>
                <w:rFonts w:cs="Calibri" w:hAnsi="Calibri" w:eastAsia="Calibri" w:ascii="Calibri"/>
                <w:b w:val="1"/>
                <w:sz w:val="16"/>
              </w:rPr>
              <w:t xml:space="preserve">540000</w:t>
            </w:r>
            <w:r>
              <w:rPr>
                <w:rFonts w:cs="Calibri" w:hAnsi="Calibri" w:eastAsia="Calibri" w:ascii="Calibri"/>
                <w:b w:val="1"/>
                <w:sz w:val="16"/>
              </w:rPr>
              <w:t xml:space="preserve"> </w:t>
            </w:r>
          </w:p>
        </w:tc>
      </w:tr>
      <w:tr>
        <w:trPr>
          <w:trHeight w:val="496" w:hRule="atLeast"/>
        </w:trPr>
        <w:tc>
          <w:tcPr>
            <w:tcW w:w="14742" w:type="dxa"/>
            <w:gridSpan w:val="11"/>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sz w:val="18"/>
              </w:rPr>
              <w:t xml:space="preserve">Produit 4.du projet</w:t>
            </w:r>
            <w:r>
              <w:rPr>
                <w:rFonts w:cs="Times New Roman" w:hAnsi="Times New Roman" w:eastAsia="Times New Roman" w:ascii="Times New Roman"/>
                <w:b w:val="1"/>
                <w:i w:val="1"/>
              </w:rPr>
              <w:t xml:space="preserve">: </w:t>
            </w:r>
            <w:r>
              <w:rPr>
                <w:rFonts w:cs="Times New Roman" w:hAnsi="Times New Roman" w:eastAsia="Times New Roman" w:ascii="Times New Roman"/>
                <w:i w:val="1"/>
                <w:sz w:val="20"/>
              </w:rPr>
              <w:t xml:space="preserve">Les CT et les communautés bénéficient des mécanismes de financement appropriés pour mettre en œuvre plans locaux de développement  résilients aux changements climatiques et orientés vers une faible</w:t>
            </w:r>
            <w:r>
              <w:rPr>
                <w:sz w:val="20"/>
              </w:rPr>
              <w:t xml:space="preserve"> </w:t>
            </w:r>
            <w:r>
              <w:rPr>
                <w:rFonts w:cs="Times New Roman" w:hAnsi="Times New Roman" w:eastAsia="Times New Roman" w:ascii="Times New Roman"/>
                <w:i w:val="1"/>
                <w:sz w:val="20"/>
              </w:rPr>
              <w:t xml:space="preserve">émission de GES</w:t>
            </w:r>
            <w:r>
              <w:rPr>
                <w:rFonts w:cs="Times New Roman" w:hAnsi="Times New Roman" w:eastAsia="Times New Roman" w:ascii="Times New Roman"/>
                <w:i w:val="1"/>
                <w:sz w:val="20"/>
              </w:rPr>
              <w:t xml:space="preserve"> </w:t>
            </w:r>
          </w:p>
        </w:tc>
      </w:tr>
      <w:tr>
        <w:trPr>
          <w:trHeight w:val="377"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hanging="720"/>
              <w:jc w:val="left"/>
            </w:pPr>
            <w:r>
              <w:rPr>
                <w:sz w:val="16"/>
              </w:rPr>
              <w:t xml:space="preserve">18.</w:t>
            </w:r>
            <w:r>
              <w:rPr>
                <w:rFonts w:cs="Arial" w:hAnsi="Arial" w:eastAsia="Arial" w:ascii="Arial"/>
                <w:sz w:val="16"/>
              </w:rPr>
              <w:t xml:space="preserve"> 	</w:t>
            </w:r>
            <w:r>
              <w:rPr>
                <w:sz w:val="16"/>
              </w:rPr>
              <w:t xml:space="preserve">Appui à la mise en place d‟un Fonds National pour le Climat</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5"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18"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100000</w:t>
            </w:r>
            <w:r>
              <w:rPr>
                <w:rFonts w:cs="Agency FB" w:hAnsi="Agency FB" w:eastAsia="Agency FB" w:ascii="Agency FB"/>
                <w:b w:val="1"/>
                <w:sz w:val="16"/>
              </w:rPr>
              <w:t xml:space="preserve"> </w:t>
            </w:r>
          </w:p>
        </w:tc>
      </w:tr>
      <w:tr>
        <w:trPr>
          <w:trHeight w:val="932"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720" w:right="18" w:hanging="720"/>
              <w:jc w:val="left"/>
            </w:pPr>
            <w:r>
              <w:rPr>
                <w:sz w:val="16"/>
              </w:rPr>
              <w:t xml:space="preserve">19.</w:t>
            </w:r>
            <w:r>
              <w:rPr>
                <w:rFonts w:cs="Arial" w:hAnsi="Arial" w:eastAsia="Arial" w:ascii="Arial"/>
                <w:sz w:val="16"/>
              </w:rPr>
              <w:t xml:space="preserve"> 	</w:t>
            </w:r>
            <w:r>
              <w:rPr>
                <w:sz w:val="16"/>
              </w:rPr>
              <w:t xml:space="preserve">Appui à l‟adaptation des mécanismes de financement du  développement local aux besoins de réponse aux changements climatiques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5"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15" w:firstLine="0"/>
              <w:jc w:val="center"/>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0"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rFonts w:cs="Agency FB" w:hAnsi="Agency FB" w:eastAsia="Agency FB" w:ascii="Agency FB"/>
                <w:b w:val="1"/>
                <w:sz w:val="16"/>
              </w:rPr>
              <w:t xml:space="preserve">100000</w:t>
            </w:r>
            <w:r>
              <w:rPr>
                <w:rFonts w:cs="Calibri" w:hAnsi="Calibri" w:eastAsia="Calibri" w:ascii="Calibri"/>
              </w:rPr>
              <w:t xml:space="preserve"> </w:t>
            </w:r>
          </w:p>
        </w:tc>
      </w:tr>
      <w:tr>
        <w:trPr>
          <w:trHeight w:val="746" w:hRule="atLeast"/>
        </w:trPr>
        <w:tc>
          <w:tcPr>
            <w:tcW w:w="2834" w:type="dxa"/>
            <w:tcBorders>
              <w:top w:val="single" w:sz="4" w:color="000000"/>
              <w:left w:val="single" w:sz="4" w:color="000000"/>
              <w:bottom w:val="single" w:sz="4" w:color="000000"/>
              <w:right w:val="single" w:sz="4" w:color="000000"/>
            </w:tcBorders>
            <w:vAlign w:val="top"/>
          </w:tcPr>
          <w:p>
            <w:pPr>
              <w:tabs>
                <w:tab w:val="center" w:pos="169"/>
                <w:tab w:val="center" w:pos="1682"/>
              </w:tabs>
              <w:spacing w:before="0" w:after="0" w:line="259" w:lineRule="auto"/>
              <w:ind w:left="0" w:firstLine="0"/>
              <w:jc w:val="left"/>
            </w:pPr>
            <w:r>
              <w:rPr>
                <w:rFonts w:cs="Calibri" w:hAnsi="Calibri" w:eastAsia="Calibri" w:ascii="Calibri"/>
                <w:sz w:val="22"/>
              </w:rPr>
              <w:t xml:space="preserve">	</w:t>
            </w:r>
            <w:r>
              <w:rPr>
                <w:sz w:val="16"/>
              </w:rPr>
              <w:t xml:space="preserve">20.</w:t>
            </w:r>
            <w:r>
              <w:rPr>
                <w:rFonts w:cs="Arial" w:hAnsi="Arial" w:eastAsia="Arial" w:ascii="Arial"/>
                <w:sz w:val="16"/>
              </w:rPr>
              <w:t xml:space="preserve"> 	</w:t>
            </w:r>
            <w:r>
              <w:rPr>
                <w:sz w:val="16"/>
              </w:rPr>
              <w:t xml:space="preserve">Renforcement des capacités </w:t>
            </w:r>
          </w:p>
          <w:p>
            <w:pPr>
              <w:spacing w:before="0" w:after="0" w:line="259" w:lineRule="auto"/>
              <w:ind w:left="720" w:firstLine="0"/>
              <w:jc w:val="left"/>
            </w:pPr>
            <w:r>
              <w:rPr>
                <w:sz w:val="16"/>
              </w:rPr>
              <w:t xml:space="preserve">des acteurs des collectivités à mobiliser les ressources financières (fonds adaptation,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3"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17" w:firstLine="0"/>
              <w:jc w:val="center"/>
            </w:pP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42"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44"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47"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0" w:right="43" w:firstLine="0"/>
              <w:jc w:val="center"/>
            </w:pPr>
            <w:r>
              <w:rPr>
                <w:rFonts w:cs="Agency FB" w:hAnsi="Agency FB" w:eastAsia="Agency FB" w:ascii="Agency FB"/>
                <w:b w:val="1"/>
                <w:sz w:val="16"/>
              </w:rPr>
              <w:t xml:space="preserve">20000</w:t>
            </w:r>
            <w:r>
              <w:rPr>
                <w:rFonts w:cs="Agency FB" w:hAnsi="Agency FB" w:eastAsia="Agency FB" w:ascii="Agency FB"/>
                <w:b w:val="1"/>
                <w:sz w:val="16"/>
              </w:rPr>
              <w:t xml:space="preserve"> </w:t>
            </w:r>
          </w:p>
        </w:tc>
      </w:tr>
    </w:tbl>
    <w:tbl>
      <w:tblPr>
        <w:tblStyle w:val="TableGrid"/>
        <w:tblW w:w="14742" w:type="dxa"/>
        <w:tblInd w:w="-707" w:type="dxa"/>
        <w:tblCellMar>
          <w:top w:w="5" w:type="dxa"/>
          <w:left w:w="0" w:type="dxa"/>
          <w:bottom w:w="2" w:type="dxa"/>
          <w:right w:w="20" w:type="dxa"/>
        </w:tblCellMar>
      </w:tblPr>
      <w:tblGrid>
        <w:gridCol w:w="2834"/>
        <w:gridCol w:w="1135"/>
        <w:gridCol w:w="1133"/>
        <w:gridCol w:w="851"/>
        <w:gridCol w:w="1134"/>
        <w:gridCol w:w="1303"/>
        <w:gridCol w:w="1163"/>
        <w:gridCol w:w="1163"/>
        <w:gridCol w:w="1162"/>
        <w:gridCol w:w="1165"/>
        <w:gridCol w:w="1699"/>
      </w:tblGrid>
      <w:tr>
        <w:trPr>
          <w:trHeight w:val="443" w:hRule="atLeast"/>
        </w:trPr>
        <w:tc>
          <w:tcPr>
            <w:tcW w:w="2834"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6" w:firstLine="0"/>
              <w:jc w:val="center"/>
            </w:pPr>
            <w:r>
              <w:rPr>
                <w:rFonts w:cs="Times New Roman" w:hAnsi="Times New Roman" w:eastAsia="Times New Roman" w:ascii="Times New Roman"/>
                <w:b w:val="1"/>
                <w:sz w:val="20"/>
              </w:rPr>
              <w:t xml:space="preserve"> </w:t>
            </w:r>
          </w:p>
          <w:p>
            <w:pPr>
              <w:spacing w:before="0" w:after="0" w:line="259" w:lineRule="auto"/>
              <w:ind w:left="15" w:firstLine="0"/>
              <w:jc w:val="center"/>
            </w:pPr>
            <w:r>
              <w:rPr>
                <w:rFonts w:cs="Times New Roman" w:hAnsi="Times New Roman" w:eastAsia="Times New Roman" w:ascii="Times New Roman"/>
                <w:b w:val="1"/>
                <w:sz w:val="20"/>
              </w:rPr>
              <w:t xml:space="preserve">Produits/Activités</w:t>
            </w:r>
            <w:r>
              <w:rPr>
                <w:rFonts w:cs="Times New Roman" w:hAnsi="Times New Roman" w:eastAsia="Times New Roman" w:ascii="Times New Roman"/>
                <w:b w:val="1"/>
                <w:sz w:val="20"/>
              </w:rPr>
              <w:t xml:space="preserve"> </w:t>
            </w:r>
          </w:p>
        </w:tc>
        <w:tc>
          <w:tcPr>
            <w:tcW w:w="1135"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67" w:firstLine="0"/>
              <w:jc w:val="center"/>
            </w:pPr>
            <w:r>
              <w:rPr>
                <w:rFonts w:cs="Times New Roman" w:hAnsi="Times New Roman" w:eastAsia="Times New Roman" w:ascii="Times New Roman"/>
                <w:b w:val="1"/>
                <w:sz w:val="20"/>
              </w:rPr>
              <w:t xml:space="preserve"> </w:t>
            </w:r>
          </w:p>
          <w:p>
            <w:pPr>
              <w:spacing w:before="0" w:after="0" w:line="259" w:lineRule="auto"/>
              <w:ind w:left="15" w:firstLine="0"/>
              <w:jc w:val="center"/>
            </w:pPr>
            <w:r>
              <w:rPr>
                <w:rFonts w:cs="Times New Roman" w:hAnsi="Times New Roman" w:eastAsia="Times New Roman" w:ascii="Times New Roman"/>
                <w:b w:val="1"/>
                <w:sz w:val="20"/>
              </w:rPr>
              <w:t xml:space="preserve">Agences</w:t>
            </w:r>
            <w:r>
              <w:rPr>
                <w:rFonts w:cs="Times New Roman" w:hAnsi="Times New Roman" w:eastAsia="Times New Roman" w:ascii="Times New Roman"/>
                <w:b w:val="1"/>
                <w:sz w:val="20"/>
              </w:rPr>
              <w:t xml:space="preserve"> </w:t>
            </w:r>
          </w:p>
        </w:tc>
        <w:tc>
          <w:tcPr>
            <w:tcW w:w="1133"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firstLine="0"/>
              <w:jc w:val="center"/>
            </w:pPr>
            <w:r>
              <w:rPr>
                <w:rFonts w:cs="Times New Roman" w:hAnsi="Times New Roman" w:eastAsia="Times New Roman" w:ascii="Times New Roman"/>
                <w:b w:val="1"/>
                <w:sz w:val="20"/>
              </w:rPr>
              <w:t xml:space="preserve">Rubrique Budgétaire</w:t>
            </w:r>
            <w:r>
              <w:rPr>
                <w:rFonts w:cs="Times New Roman" w:hAnsi="Times New Roman" w:eastAsia="Times New Roman" w:ascii="Times New Roman"/>
                <w:b w:val="1"/>
                <w:sz w:val="20"/>
              </w:rPr>
              <w:t xml:space="preserve"> </w:t>
            </w:r>
          </w:p>
        </w:tc>
        <w:tc>
          <w:tcPr>
            <w:tcW w:w="1985" w:type="dxa"/>
            <w:gridSpan w:val="2"/>
            <w:tcBorders>
              <w:top w:val="single" w:sz="4" w:color="000000"/>
              <w:left w:val="single" w:sz="4" w:color="000000"/>
              <w:bottom w:val="single" w:sz="4" w:color="000000"/>
              <w:right w:val="single" w:sz="4" w:color="000000"/>
            </w:tcBorders>
            <w:shd w:val="clear" w:fill="d9d9d9"/>
            <w:vAlign w:val="bottom"/>
          </w:tcPr>
          <w:p>
            <w:pPr>
              <w:spacing w:before="0" w:after="0" w:line="259" w:lineRule="auto"/>
              <w:ind w:left="70" w:firstLine="0"/>
              <w:jc w:val="left"/>
            </w:pPr>
            <w:r>
              <w:rPr>
                <w:rFonts w:cs="Cambria" w:hAnsi="Cambria" w:eastAsia="Cambria" w:ascii="Cambria"/>
                <w:color w:val="404040"/>
                <w:sz w:val="20"/>
              </w:rPr>
              <w:t xml:space="preserve">Description Atlas</w:t>
            </w:r>
            <w:r>
              <w:rPr>
                <w:rFonts w:cs="Cambria" w:hAnsi="Cambria" w:eastAsia="Cambria" w:ascii="Cambria"/>
                <w:color w:val="404040"/>
                <w:sz w:val="20"/>
              </w:rPr>
              <w:t xml:space="preserve"> </w:t>
            </w:r>
          </w:p>
        </w:tc>
        <w:tc>
          <w:tcPr>
            <w:tcW w:w="1303" w:type="dxa"/>
            <w:tcBorders>
              <w:top w:val="single" w:sz="4" w:color="000000"/>
              <w:left w:val="single" w:sz="4" w:color="000000"/>
              <w:bottom w:val="single" w:sz="4" w:color="000000"/>
              <w:right w:val="nil"/>
            </w:tcBorders>
            <w:shd w:val="clear" w:fill="d9d9d9"/>
            <w:vAlign w:val="top"/>
          </w:tcPr>
          <w:p>
            <w:pPr>
              <w:bidi w:val="0"/>
              <w:spacing w:before="0" w:after="160" w:line="259" w:lineRule="auto"/>
              <w:ind w:left="0" w:right="0" w:firstLine="0"/>
              <w:jc w:val="left"/>
            </w:pPr>
          </w:p>
        </w:tc>
        <w:tc>
          <w:tcPr>
            <w:tcW w:w="4652" w:type="dxa"/>
            <w:gridSpan w:val="4"/>
            <w:tcBorders>
              <w:top w:val="single" w:sz="4" w:color="000000"/>
              <w:left w:val="nil"/>
              <w:bottom w:val="single" w:sz="4" w:color="000000"/>
              <w:right w:val="single" w:sz="4" w:color="000000"/>
            </w:tcBorders>
            <w:shd w:val="clear" w:fill="d9d9d9"/>
            <w:vAlign w:val="top"/>
          </w:tcPr>
          <w:p>
            <w:pPr>
              <w:spacing w:before="0" w:after="0" w:line="259" w:lineRule="auto"/>
              <w:ind w:left="728" w:firstLine="0"/>
              <w:jc w:val="left"/>
            </w:pPr>
            <w:r>
              <w:rPr>
                <w:rFonts w:cs="Times New Roman" w:hAnsi="Times New Roman" w:eastAsia="Times New Roman" w:ascii="Times New Roman"/>
                <w:b w:val="1"/>
                <w:sz w:val="20"/>
              </w:rPr>
              <w:t xml:space="preserve">Coûts par An ($.USD)</w:t>
            </w:r>
            <w:r>
              <w:rPr>
                <w:rFonts w:cs="Times New Roman" w:hAnsi="Times New Roman" w:eastAsia="Times New Roman" w:ascii="Times New Roman"/>
                <w:b w:val="1"/>
                <w:sz w:val="20"/>
              </w:rPr>
              <w:t xml:space="preserve"> </w:t>
            </w:r>
          </w:p>
        </w:tc>
        <w:tc>
          <w:tcPr>
            <w:tcW w:w="169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0" w:firstLine="0"/>
              <w:jc w:val="center"/>
            </w:pPr>
            <w:r>
              <w:rPr>
                <w:rFonts w:cs="Times New Roman" w:hAnsi="Times New Roman" w:eastAsia="Times New Roman" w:ascii="Times New Roman"/>
                <w:b w:val="1"/>
                <w:sz w:val="20"/>
              </w:rPr>
              <w:t xml:space="preserve">Coûts totaux</w:t>
            </w:r>
            <w:r>
              <w:rPr>
                <w:rFonts w:cs="Times New Roman" w:hAnsi="Times New Roman" w:eastAsia="Times New Roman" w:ascii="Times New Roman"/>
                <w:b w:val="1"/>
                <w:sz w:val="20"/>
              </w:rPr>
              <w:t xml:space="preserve"> </w:t>
            </w:r>
          </w:p>
        </w:tc>
      </w:tr>
      <w:tr>
        <w:trPr>
          <w:trHeight w:val="69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851"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6" w:firstLine="0"/>
              <w:jc w:val="center"/>
            </w:pPr>
            <w:r>
              <w:rPr>
                <w:rFonts w:cs="Times New Roman" w:hAnsi="Times New Roman" w:eastAsia="Times New Roman" w:ascii="Times New Roman"/>
                <w:b w:val="1"/>
                <w:sz w:val="20"/>
              </w:rPr>
              <w:t xml:space="preserve">Ligne</w:t>
            </w:r>
            <w:r>
              <w:rPr>
                <w:rFonts w:cs="Times New Roman" w:hAnsi="Times New Roman" w:eastAsia="Times New Roman" w:ascii="Times New Roman"/>
                <w:b w:val="1"/>
                <w:sz w:val="20"/>
              </w:rPr>
              <w:t xml:space="preserve"> </w:t>
            </w:r>
          </w:p>
        </w:tc>
        <w:tc>
          <w:tcPr>
            <w:tcW w:w="1134"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73" w:firstLine="0"/>
            </w:pPr>
            <w:r>
              <w:rPr>
                <w:rFonts w:cs="Times New Roman" w:hAnsi="Times New Roman" w:eastAsia="Times New Roman" w:ascii="Times New Roman"/>
                <w:b w:val="1"/>
                <w:sz w:val="20"/>
              </w:rPr>
              <w:t xml:space="preserve">Description</w:t>
            </w:r>
            <w:r>
              <w:rPr>
                <w:rFonts w:cs="Times New Roman" w:hAnsi="Times New Roman" w:eastAsia="Times New Roman" w:ascii="Times New Roman"/>
                <w:b w:val="1"/>
                <w:sz w:val="20"/>
              </w:rPr>
              <w:t xml:space="preserve"> </w:t>
            </w:r>
          </w:p>
        </w:tc>
        <w:tc>
          <w:tcPr>
            <w:tcW w:w="130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1" w:firstLine="0"/>
              <w:jc w:val="center"/>
            </w:pPr>
            <w:r>
              <w:rPr>
                <w:rFonts w:cs="Times New Roman" w:hAnsi="Times New Roman" w:eastAsia="Times New Roman" w:ascii="Times New Roman"/>
                <w:b w:val="1"/>
                <w:sz w:val="20"/>
              </w:rPr>
              <w:t xml:space="preserve">2011</w:t>
            </w:r>
            <w:r>
              <w:rPr>
                <w:rFonts w:cs="Times New Roman" w:hAnsi="Times New Roman" w:eastAsia="Times New Roman" w:ascii="Times New Roman"/>
                <w:b w:val="1"/>
                <w:sz w:val="20"/>
              </w:rPr>
              <w:t xml:space="preserve"> </w:t>
            </w:r>
          </w:p>
          <w:p>
            <w:pPr>
              <w:spacing w:before="0" w:after="0" w:line="259" w:lineRule="auto"/>
              <w:ind w:left="70" w:firstLine="0"/>
              <w:jc w:val="left"/>
            </w:pPr>
            <w:r>
              <w:rPr>
                <w:sz w:val="20"/>
              </w:rPr>
              <w:t xml:space="preserve"> </w:t>
            </w:r>
          </w:p>
        </w:tc>
        <w:tc>
          <w:tcPr>
            <w:tcW w:w="116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8" w:firstLine="0"/>
              <w:jc w:val="center"/>
            </w:pPr>
            <w:r>
              <w:rPr>
                <w:rFonts w:cs="Times New Roman" w:hAnsi="Times New Roman" w:eastAsia="Times New Roman" w:ascii="Times New Roman"/>
                <w:b w:val="1"/>
                <w:sz w:val="20"/>
              </w:rPr>
              <w:t xml:space="preserve">2012</w:t>
            </w:r>
            <w:r>
              <w:rPr>
                <w:rFonts w:cs="Times New Roman" w:hAnsi="Times New Roman" w:eastAsia="Times New Roman" w:ascii="Times New Roman"/>
                <w:b w:val="1"/>
                <w:sz w:val="20"/>
              </w:rPr>
              <w:t xml:space="preserve"> </w:t>
            </w:r>
          </w:p>
          <w:p>
            <w:pPr>
              <w:spacing w:before="0" w:after="0" w:line="259" w:lineRule="auto"/>
              <w:ind w:left="69" w:firstLine="0"/>
              <w:jc w:val="center"/>
            </w:pPr>
            <w:r>
              <w:rPr>
                <w:sz w:val="20"/>
              </w:rPr>
              <w:t xml:space="preserve"> </w:t>
            </w:r>
          </w:p>
        </w:tc>
        <w:tc>
          <w:tcPr>
            <w:tcW w:w="1163"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20" w:firstLine="0"/>
              <w:jc w:val="center"/>
            </w:pPr>
            <w:r>
              <w:rPr>
                <w:rFonts w:cs="Times New Roman" w:hAnsi="Times New Roman" w:eastAsia="Times New Roman" w:ascii="Times New Roman"/>
                <w:b w:val="1"/>
                <w:sz w:val="20"/>
              </w:rPr>
              <w:t xml:space="preserve">2013</w:t>
            </w:r>
            <w:r>
              <w:rPr>
                <w:rFonts w:cs="Times New Roman" w:hAnsi="Times New Roman" w:eastAsia="Times New Roman" w:ascii="Times New Roman"/>
                <w:b w:val="1"/>
                <w:sz w:val="20"/>
              </w:rPr>
              <w:t xml:space="preserve"> </w:t>
            </w:r>
          </w:p>
          <w:p>
            <w:pPr>
              <w:spacing w:before="0" w:after="0" w:line="259" w:lineRule="auto"/>
              <w:ind w:left="71" w:firstLine="0"/>
              <w:jc w:val="left"/>
            </w:pPr>
            <w:r>
              <w:rPr>
                <w:sz w:val="20"/>
              </w:rPr>
              <w:t xml:space="preserve"> </w:t>
            </w:r>
          </w:p>
        </w:tc>
        <w:tc>
          <w:tcPr>
            <w:tcW w:w="1162"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8" w:firstLine="0"/>
              <w:jc w:val="center"/>
            </w:pPr>
            <w:r>
              <w:rPr>
                <w:rFonts w:cs="Times New Roman" w:hAnsi="Times New Roman" w:eastAsia="Times New Roman" w:ascii="Times New Roman"/>
                <w:b w:val="1"/>
                <w:sz w:val="20"/>
              </w:rPr>
              <w:t xml:space="preserve">2014</w:t>
            </w:r>
            <w:r>
              <w:rPr>
                <w:rFonts w:cs="Times New Roman" w:hAnsi="Times New Roman" w:eastAsia="Times New Roman" w:ascii="Times New Roman"/>
                <w:b w:val="1"/>
                <w:sz w:val="20"/>
              </w:rPr>
              <w:t xml:space="preserve"> </w:t>
            </w:r>
          </w:p>
          <w:p>
            <w:pPr>
              <w:spacing w:before="0" w:after="0" w:line="259" w:lineRule="auto"/>
              <w:ind w:left="70" w:firstLine="0"/>
              <w:jc w:val="left"/>
            </w:pPr>
            <w:r>
              <w:rPr>
                <w:sz w:val="20"/>
              </w:rPr>
              <w:t xml:space="preserve"> </w:t>
            </w:r>
          </w:p>
        </w:tc>
        <w:tc>
          <w:tcPr>
            <w:tcW w:w="1165"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6" w:firstLine="0"/>
              <w:jc w:val="center"/>
            </w:pPr>
            <w:r>
              <w:rPr>
                <w:rFonts w:cs="Times New Roman" w:hAnsi="Times New Roman" w:eastAsia="Times New Roman" w:ascii="Times New Roman"/>
                <w:b w:val="1"/>
                <w:sz w:val="20"/>
              </w:rPr>
              <w:t xml:space="preserve">2015</w:t>
            </w:r>
            <w:r>
              <w:rPr>
                <w:rFonts w:cs="Times New Roman" w:hAnsi="Times New Roman" w:eastAsia="Times New Roman" w:ascii="Times New Roman"/>
                <w:b w:val="1"/>
                <w:sz w:val="20"/>
              </w:rPr>
              <w:t xml:space="preserve"> </w:t>
            </w:r>
          </w:p>
          <w:p>
            <w:pPr>
              <w:spacing w:before="0" w:after="0" w:line="259" w:lineRule="auto"/>
              <w:ind w:left="70" w:firstLine="0"/>
              <w:jc w:val="left"/>
            </w:pPr>
            <w:r>
              <w:rPr>
                <w:sz w:val="20"/>
              </w:rPr>
              <w:t xml:space="preserve"> </w:t>
            </w:r>
          </w:p>
        </w:tc>
        <w:tc>
          <w:tcPr>
            <w:tcW w:w="1699"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70" w:firstLine="0"/>
              <w:jc w:val="left"/>
            </w:pPr>
            <w:r>
              <w:rPr>
                <w:rFonts w:cs="Times New Roman" w:hAnsi="Times New Roman" w:eastAsia="Times New Roman" w:ascii="Times New Roman"/>
                <w:b w:val="1"/>
                <w:sz w:val="20"/>
              </w:rPr>
              <w:t xml:space="preserve"> </w:t>
            </w:r>
          </w:p>
        </w:tc>
      </w:tr>
      <w:tr>
        <w:trPr>
          <w:trHeight w:val="196" w:hRule="atLeast"/>
        </w:trPr>
        <w:tc>
          <w:tcPr>
            <w:tcW w:w="2834" w:type="dxa"/>
            <w:tcBorders>
              <w:top w:val="single" w:sz="4" w:color="000000"/>
              <w:left w:val="single" w:sz="4" w:color="000000"/>
              <w:bottom w:val="single" w:sz="4" w:color="000000"/>
              <w:right w:val="single" w:sz="4" w:color="000000"/>
            </w:tcBorders>
            <w:vAlign w:val="top"/>
          </w:tcPr>
          <w:p>
            <w:pPr>
              <w:spacing w:before="0" w:after="0" w:line="259" w:lineRule="auto"/>
              <w:ind w:left="0" w:right="95" w:firstLine="0"/>
              <w:jc w:val="center"/>
            </w:pPr>
            <w:r>
              <w:rPr>
                <w:sz w:val="16"/>
              </w:rPr>
              <w:t xml:space="preserve">secteur privé, etc)</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3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85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3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165"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9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931" w:hRule="atLeast"/>
        </w:trPr>
        <w:tc>
          <w:tcPr>
            <w:tcW w:w="2834" w:type="dxa"/>
            <w:tcBorders>
              <w:top w:val="single" w:sz="4" w:color="000000"/>
              <w:left w:val="single" w:sz="4" w:color="000000"/>
              <w:bottom w:val="single" w:sz="4" w:color="000000"/>
              <w:right w:val="single" w:sz="4" w:color="000000"/>
            </w:tcBorders>
            <w:vAlign w:val="top"/>
          </w:tcPr>
          <w:p>
            <w:pPr>
              <w:tabs>
                <w:tab w:val="center" w:pos="1568"/>
              </w:tabs>
              <w:spacing w:before="0" w:after="0" w:line="259" w:lineRule="auto"/>
              <w:ind w:left="0" w:firstLine="0"/>
              <w:jc w:val="left"/>
            </w:pPr>
            <w:r>
              <w:rPr>
                <w:sz w:val="16"/>
              </w:rPr>
              <w:t xml:space="preserve">21.</w:t>
            </w:r>
            <w:r>
              <w:rPr>
                <w:rFonts w:cs="Arial" w:hAnsi="Arial" w:eastAsia="Arial" w:ascii="Arial"/>
                <w:sz w:val="16"/>
              </w:rPr>
              <w:t xml:space="preserve"> 	</w:t>
            </w:r>
            <w:r>
              <w:rPr>
                <w:sz w:val="16"/>
              </w:rPr>
              <w:t xml:space="preserve">Appui à l‟élaboration de </w:t>
            </w:r>
          </w:p>
          <w:p>
            <w:pPr>
              <w:spacing w:before="0" w:after="0" w:line="259" w:lineRule="auto"/>
              <w:ind w:left="788" w:firstLine="0"/>
              <w:jc w:val="left"/>
            </w:pPr>
            <w:r>
              <w:rPr>
                <w:sz w:val="16"/>
              </w:rPr>
              <w:t xml:space="preserve">projets d‟adaption et/ou d‟atténuation (approche territoriale du Climat, technologies appropriées)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70"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19"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24"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20"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46" w:firstLine="0"/>
              <w:jc w:val="center"/>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21" w:firstLine="0"/>
              <w:jc w:val="center"/>
            </w:pPr>
            <w:r>
              <w:rPr>
                <w:rFonts w:cs="Agency FB" w:hAnsi="Agency FB" w:eastAsia="Agency FB" w:ascii="Agency FB"/>
                <w:b w:val="1"/>
                <w:sz w:val="16"/>
              </w:rPr>
              <w:t xml:space="preserve">200000</w:t>
            </w:r>
            <w:r>
              <w:rPr>
                <w:rFonts w:cs="Agency FB" w:hAnsi="Agency FB" w:eastAsia="Agency FB" w:ascii="Agency FB"/>
                <w:b w:val="1"/>
                <w:sz w:val="16"/>
              </w:rPr>
              <w:t xml:space="preserve"> </w:t>
            </w:r>
          </w:p>
        </w:tc>
      </w:tr>
      <w:tr>
        <w:trPr>
          <w:trHeight w:val="562" w:hRule="atLeast"/>
        </w:trPr>
        <w:tc>
          <w:tcPr>
            <w:tcW w:w="2834" w:type="dxa"/>
            <w:tcBorders>
              <w:top w:val="single" w:sz="4" w:color="000000"/>
              <w:left w:val="single" w:sz="4" w:color="000000"/>
              <w:bottom w:val="single" w:sz="4" w:color="000000"/>
              <w:right w:val="single" w:sz="4" w:color="000000"/>
            </w:tcBorders>
            <w:vAlign w:val="top"/>
          </w:tcPr>
          <w:p>
            <w:pPr>
              <w:spacing w:before="0" w:after="0" w:line="244" w:lineRule="auto"/>
              <w:ind w:left="788" w:hanging="720"/>
              <w:jc w:val="left"/>
            </w:pPr>
            <w:r>
              <w:rPr>
                <w:sz w:val="16"/>
              </w:rPr>
              <w:t xml:space="preserve">22.</w:t>
            </w:r>
            <w:r>
              <w:rPr>
                <w:rFonts w:cs="Arial" w:hAnsi="Arial" w:eastAsia="Arial" w:ascii="Arial"/>
                <w:sz w:val="16"/>
              </w:rPr>
              <w:t xml:space="preserve"> 	</w:t>
            </w:r>
            <w:r>
              <w:rPr>
                <w:sz w:val="16"/>
              </w:rPr>
              <w:t xml:space="preserve">Appui à la mise en œuvre des plans locaux de </w:t>
            </w:r>
          </w:p>
          <w:p>
            <w:pPr>
              <w:spacing w:before="0" w:after="0" w:line="259" w:lineRule="auto"/>
              <w:ind w:left="0" w:right="162" w:firstLine="0"/>
              <w:jc w:val="right"/>
            </w:pPr>
            <w:r>
              <w:rPr>
                <w:sz w:val="16"/>
              </w:rPr>
              <w:t xml:space="preserve">développement et des projets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70"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22"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21" w:firstLine="0"/>
              <w:jc w:val="center"/>
            </w:pPr>
            <w:r>
              <w:rPr>
                <w:rFonts w:cs="Agency FB" w:hAnsi="Agency FB" w:eastAsia="Agency FB" w:ascii="Agency FB"/>
                <w:sz w:val="16"/>
              </w:rPr>
              <w:t xml:space="preserve">200000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20" w:firstLine="0"/>
              <w:jc w:val="center"/>
            </w:pPr>
            <w:r>
              <w:rPr>
                <w:rFonts w:cs="Agency FB" w:hAnsi="Agency FB" w:eastAsia="Agency FB" w:ascii="Agency FB"/>
                <w:sz w:val="16"/>
              </w:rPr>
              <w:t xml:space="preserve">200000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rFonts w:cs="Agency FB" w:hAnsi="Agency FB" w:eastAsia="Agency FB" w:ascii="Agency FB"/>
                <w:sz w:val="16"/>
              </w:rPr>
              <w:t xml:space="preserve">200000</w:t>
            </w: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21" w:firstLine="0"/>
              <w:jc w:val="center"/>
            </w:pPr>
            <w:r>
              <w:rPr>
                <w:rFonts w:cs="Agency FB" w:hAnsi="Agency FB" w:eastAsia="Agency FB" w:ascii="Agency FB"/>
                <w:b w:val="1"/>
                <w:sz w:val="16"/>
              </w:rPr>
              <w:t xml:space="preserve">700000</w:t>
            </w:r>
            <w:r>
              <w:rPr>
                <w:rFonts w:cs="Agency FB" w:hAnsi="Agency FB" w:eastAsia="Agency FB" w:ascii="Agency FB"/>
                <w:b w:val="1"/>
                <w:sz w:val="16"/>
              </w:rPr>
              <w:t xml:space="preserve"> </w:t>
            </w:r>
          </w:p>
        </w:tc>
      </w:tr>
      <w:tr>
        <w:trPr>
          <w:trHeight w:val="929" w:hRule="atLeast"/>
        </w:trPr>
        <w:tc>
          <w:tcPr>
            <w:tcW w:w="2834" w:type="dxa"/>
            <w:tcBorders>
              <w:top w:val="single" w:sz="4" w:color="000000"/>
              <w:left w:val="single" w:sz="4" w:color="000000"/>
              <w:bottom w:val="single" w:sz="4" w:color="000000"/>
              <w:right w:val="single" w:sz="4" w:color="000000"/>
            </w:tcBorders>
            <w:vAlign w:val="top"/>
          </w:tcPr>
          <w:p>
            <w:pPr>
              <w:tabs>
                <w:tab w:val="center" w:pos="1459"/>
              </w:tabs>
              <w:spacing w:before="0" w:after="0" w:line="259" w:lineRule="auto"/>
              <w:ind w:left="0" w:firstLine="0"/>
              <w:jc w:val="left"/>
            </w:pPr>
            <w:r>
              <w:rPr>
                <w:sz w:val="16"/>
              </w:rPr>
              <w:t xml:space="preserve">23.</w:t>
            </w:r>
            <w:r>
              <w:rPr>
                <w:rFonts w:cs="Arial" w:hAnsi="Arial" w:eastAsia="Arial" w:ascii="Arial"/>
                <w:sz w:val="16"/>
              </w:rPr>
              <w:t xml:space="preserve"> 	</w:t>
            </w:r>
            <w:r>
              <w:rPr>
                <w:sz w:val="16"/>
              </w:rPr>
              <w:t xml:space="preserve">Appui aux initiatives </w:t>
            </w:r>
          </w:p>
          <w:p>
            <w:pPr>
              <w:spacing w:before="0" w:after="2" w:line="235" w:lineRule="auto"/>
              <w:ind w:left="788" w:firstLine="0"/>
              <w:jc w:val="left"/>
            </w:pPr>
            <w:r>
              <w:rPr>
                <w:sz w:val="16"/>
              </w:rPr>
              <w:t xml:space="preserve">communautaires par le programme FEM/ONG </w:t>
            </w:r>
          </w:p>
          <w:p>
            <w:pPr>
              <w:spacing w:before="0" w:after="0" w:line="259" w:lineRule="auto"/>
              <w:ind w:left="788" w:right="49" w:firstLine="0"/>
              <w:jc w:val="left"/>
            </w:pPr>
            <w:r>
              <w:rPr>
                <w:sz w:val="16"/>
              </w:rPr>
              <w:t xml:space="preserve">(initiative Grand‟mère Solaire)</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70"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19"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21"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22"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20"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21" w:firstLine="0"/>
              <w:jc w:val="center"/>
            </w:pPr>
            <w:r>
              <w:rPr>
                <w:rFonts w:cs="Agency FB" w:hAnsi="Agency FB" w:eastAsia="Agency FB" w:ascii="Agency FB"/>
                <w:b w:val="1"/>
                <w:sz w:val="16"/>
              </w:rPr>
              <w:t xml:space="preserve">150000</w:t>
            </w:r>
            <w:r>
              <w:rPr>
                <w:rFonts w:cs="Agency FB" w:hAnsi="Agency FB" w:eastAsia="Agency FB" w:ascii="Agency FB"/>
                <w:b w:val="1"/>
                <w:sz w:val="16"/>
              </w:rPr>
              <w:t xml:space="preserve"> </w:t>
            </w:r>
          </w:p>
        </w:tc>
      </w:tr>
      <w:tr>
        <w:trPr>
          <w:trHeight w:val="565" w:hRule="atLeast"/>
        </w:trPr>
        <w:tc>
          <w:tcPr>
            <w:tcW w:w="2834" w:type="dxa"/>
            <w:tcBorders>
              <w:top w:val="single" w:sz="4" w:color="000000"/>
              <w:left w:val="single" w:sz="4" w:color="000000"/>
              <w:bottom w:val="single" w:sz="4" w:color="000000"/>
              <w:right w:val="single" w:sz="4" w:color="000000"/>
            </w:tcBorders>
            <w:vAlign w:val="top"/>
          </w:tcPr>
          <w:p>
            <w:pPr>
              <w:tabs>
                <w:tab w:val="center" w:pos="1555"/>
              </w:tabs>
              <w:spacing w:before="0" w:after="0" w:line="259" w:lineRule="auto"/>
              <w:ind w:left="0" w:firstLine="0"/>
              <w:jc w:val="left"/>
            </w:pPr>
            <w:r>
              <w:rPr>
                <w:sz w:val="16"/>
              </w:rPr>
              <w:t xml:space="preserve">24.</w:t>
            </w:r>
            <w:r>
              <w:rPr>
                <w:rFonts w:cs="Arial" w:hAnsi="Arial" w:eastAsia="Arial" w:ascii="Arial"/>
                <w:sz w:val="16"/>
              </w:rPr>
              <w:t xml:space="preserve"> 	</w:t>
            </w:r>
            <w:r>
              <w:rPr>
                <w:sz w:val="16"/>
              </w:rPr>
              <w:t xml:space="preserve">Appui aux initiatives de </w:t>
            </w:r>
          </w:p>
          <w:p>
            <w:pPr>
              <w:spacing w:before="0" w:after="0" w:line="259" w:lineRule="auto"/>
              <w:ind w:left="788" w:firstLine="0"/>
              <w:jc w:val="left"/>
            </w:pPr>
            <w:r>
              <w:rPr>
                <w:sz w:val="16"/>
              </w:rPr>
              <w:t xml:space="preserve">promotion de l‟énergie alternative (PTFM vertes)</w:t>
            </w:r>
            <w:r>
              <w:rPr>
                <w:sz w:val="16"/>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16"/>
              </w:rPr>
              <w:t xml:space="preserve">NEX</w:t>
            </w:r>
            <w:r>
              <w:rPr>
                <w:sz w:val="16"/>
              </w:rPr>
              <w:t xml:space="preserve">/</w:t>
            </w:r>
            <w:r>
              <w:rPr>
                <w:sz w:val="16"/>
              </w:rPr>
              <w:t xml:space="preserve"> </w:t>
            </w:r>
            <w:r>
              <w:rPr>
                <w:sz w:val="16"/>
              </w:rPr>
              <w:t xml:space="preserve">SP/CONEDD</w:t>
            </w:r>
            <w:r>
              <w:rPr>
                <w:sz w:val="16"/>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sz w:val="20"/>
              </w:rPr>
              <w:t xml:space="preserve"> </w:t>
            </w:r>
          </w:p>
        </w:tc>
        <w:tc>
          <w:tcPr>
            <w:tcW w:w="851"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sz w:val="20"/>
              </w:rPr>
              <w:t xml:space="preserve"> </w:t>
            </w:r>
          </w:p>
        </w:tc>
        <w:tc>
          <w:tcPr>
            <w:tcW w:w="1134"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center"/>
            </w:pPr>
            <w:r>
              <w:rPr>
                <w:sz w:val="20"/>
              </w:rPr>
              <w:t xml:space="preserve"> </w:t>
            </w:r>
          </w:p>
        </w:tc>
        <w:tc>
          <w:tcPr>
            <w:tcW w:w="1303" w:type="dxa"/>
            <w:tcBorders>
              <w:top w:val="single" w:sz="4" w:color="000000"/>
              <w:left w:val="single" w:sz="4" w:color="000000"/>
              <w:bottom w:val="single" w:sz="4" w:color="000000"/>
              <w:right w:val="single" w:sz="4" w:color="000000"/>
            </w:tcBorders>
            <w:vAlign w:val="bottom"/>
          </w:tcPr>
          <w:p>
            <w:pPr>
              <w:spacing w:before="0" w:after="0" w:line="259" w:lineRule="auto"/>
              <w:ind w:left="70" w:firstLine="0"/>
              <w:jc w:val="lef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22"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23"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c>
          <w:tcPr>
            <w:tcW w:w="1162" w:type="dxa"/>
            <w:tcBorders>
              <w:top w:val="single" w:sz="4" w:color="000000"/>
              <w:left w:val="single" w:sz="4" w:color="000000"/>
              <w:bottom w:val="single" w:sz="4" w:color="000000"/>
              <w:right w:val="single" w:sz="4" w:color="000000"/>
            </w:tcBorders>
            <w:vAlign w:val="bottom"/>
          </w:tcPr>
          <w:p>
            <w:pPr>
              <w:spacing w:before="0" w:after="0" w:line="259" w:lineRule="auto"/>
              <w:ind w:left="70" w:firstLine="0"/>
              <w:jc w:val="left"/>
            </w:pPr>
            <w:r>
              <w:rPr>
                <w:rFonts w:cs="Agency FB" w:hAnsi="Agency FB" w:eastAsia="Agency FB" w:ascii="Agency FB"/>
                <w:sz w:val="16"/>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70" w:firstLine="0"/>
              <w:jc w:val="left"/>
            </w:pPr>
            <w:r>
              <w:rPr>
                <w:rFonts w:cs="Agency FB" w:hAnsi="Agency FB" w:eastAsia="Agency FB" w:ascii="Agency FB"/>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18" w:firstLine="0"/>
              <w:jc w:val="center"/>
            </w:pPr>
            <w:r>
              <w:rPr>
                <w:rFonts w:cs="Agency FB" w:hAnsi="Agency FB" w:eastAsia="Agency FB" w:ascii="Agency FB"/>
                <w:b w:val="1"/>
                <w:sz w:val="16"/>
              </w:rPr>
              <w:t xml:space="preserve">50000</w:t>
            </w:r>
            <w:r>
              <w:rPr>
                <w:rFonts w:cs="Agency FB" w:hAnsi="Agency FB" w:eastAsia="Agency FB" w:ascii="Agency FB"/>
                <w:b w:val="1"/>
                <w:sz w:val="16"/>
              </w:rPr>
              <w:t xml:space="preserve"> </w:t>
            </w:r>
          </w:p>
        </w:tc>
      </w:tr>
      <w:tr>
        <w:trPr>
          <w:trHeight w:val="276" w:hRule="atLeast"/>
        </w:trPr>
        <w:tc>
          <w:tcPr>
            <w:tcW w:w="2834" w:type="dxa"/>
            <w:tcBorders>
              <w:top w:val="single" w:sz="4" w:color="000000"/>
              <w:left w:val="single" w:sz="4" w:color="000000"/>
              <w:bottom w:val="single" w:sz="4" w:color="000000"/>
              <w:right w:val="nil"/>
            </w:tcBorders>
            <w:shd w:val="clear" w:fill="fbd4b4"/>
            <w:vAlign w:val="top"/>
          </w:tcPr>
          <w:p>
            <w:pPr>
              <w:bidi w:val="0"/>
              <w:spacing w:before="0" w:after="160" w:line="259" w:lineRule="auto"/>
              <w:ind w:left="0" w:right="0" w:firstLine="0"/>
              <w:jc w:val="left"/>
            </w:pPr>
          </w:p>
        </w:tc>
        <w:tc>
          <w:tcPr>
            <w:tcW w:w="2269" w:type="dxa"/>
            <w:gridSpan w:val="2"/>
            <w:tcBorders>
              <w:top w:val="single" w:sz="4" w:color="000000"/>
              <w:left w:val="nil"/>
              <w:bottom w:val="single" w:sz="4" w:color="000000"/>
              <w:right w:val="nil"/>
            </w:tcBorders>
            <w:shd w:val="clear" w:fill="fbd4b4"/>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shd w:val="clear" w:fill="fbd4b4"/>
            <w:vAlign w:val="top"/>
          </w:tcPr>
          <w:p>
            <w:pPr>
              <w:spacing w:before="0" w:after="0" w:line="259" w:lineRule="auto"/>
              <w:ind w:left="0" w:right="52" w:firstLine="0"/>
              <w:jc w:val="right"/>
            </w:pPr>
            <w:r>
              <w:rPr>
                <w:rFonts w:cs="Times New Roman" w:hAnsi="Times New Roman" w:eastAsia="Times New Roman" w:ascii="Times New Roman"/>
                <w:b w:val="1"/>
                <w:i w:val="1"/>
                <w:sz w:val="20"/>
              </w:rPr>
              <w:t xml:space="preserve">Sous Total produit 4</w:t>
            </w:r>
            <w:r>
              <w:rPr>
                <w:rFonts w:cs="Times New Roman" w:hAnsi="Times New Roman" w:eastAsia="Times New Roman" w:ascii="Times New Roman"/>
                <w:b w:val="1"/>
                <w:i w:val="1"/>
                <w:sz w:val="20"/>
              </w:rPr>
              <w:t xml:space="preserve"> </w:t>
            </w: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b w:val="1"/>
              </w:rPr>
              <w:t xml:space="preserve">  </w:t>
            </w:r>
          </w:p>
        </w:tc>
        <w:tc>
          <w:tcPr>
            <w:tcW w:w="1163" w:type="dxa"/>
            <w:tcBorders>
              <w:top w:val="single" w:sz="4" w:color="000000"/>
              <w:left w:val="single" w:sz="4" w:color="000000"/>
              <w:bottom w:val="single" w:sz="4" w:color="000000"/>
              <w:right w:val="single" w:sz="4" w:color="000000"/>
            </w:tcBorders>
            <w:vAlign w:val="bottom"/>
          </w:tcPr>
          <w:p>
            <w:pPr>
              <w:spacing w:before="0" w:after="0" w:line="259" w:lineRule="auto"/>
              <w:ind w:left="17" w:firstLine="0"/>
              <w:jc w:val="center"/>
            </w:pPr>
            <w:r>
              <w:rPr>
                <w:rFonts w:cs="Agency FB" w:hAnsi="Agency FB" w:eastAsia="Agency FB" w:ascii="Agency FB"/>
                <w:b w:val="1"/>
                <w:sz w:val="16"/>
              </w:rPr>
              <w:t xml:space="preserve">340000</w:t>
            </w:r>
            <w:r>
              <w:rPr>
                <w:rFonts w:cs="Agency FB" w:hAnsi="Agency FB" w:eastAsia="Agency FB" w:ascii="Agency FB"/>
                <w:b w:val="1"/>
                <w:sz w:val="16"/>
              </w:rPr>
              <w:t xml:space="preserve"> </w:t>
            </w:r>
          </w:p>
        </w:tc>
        <w:tc>
          <w:tcPr>
            <w:tcW w:w="1163" w:type="dxa"/>
            <w:tcBorders>
              <w:top w:val="single" w:sz="4" w:color="000000"/>
              <w:left w:val="single" w:sz="4" w:color="000000"/>
              <w:bottom w:val="single" w:sz="4" w:color="000000"/>
              <w:right w:val="single" w:sz="4" w:color="000000"/>
            </w:tcBorders>
            <w:vAlign w:val="bottom"/>
          </w:tcPr>
          <w:p>
            <w:pPr>
              <w:spacing w:before="0" w:after="0" w:line="259" w:lineRule="auto"/>
              <w:ind w:left="22" w:firstLine="0"/>
              <w:jc w:val="center"/>
            </w:pPr>
            <w:r>
              <w:rPr>
                <w:rFonts w:cs="Agency FB" w:hAnsi="Agency FB" w:eastAsia="Agency FB" w:ascii="Agency FB"/>
                <w:b w:val="1"/>
                <w:sz w:val="16"/>
              </w:rPr>
              <w:t xml:space="preserve">510000</w:t>
            </w:r>
            <w:r>
              <w:rPr>
                <w:rFonts w:cs="Agency FB" w:hAnsi="Agency FB" w:eastAsia="Agency FB" w:ascii="Agency FB"/>
                <w:b w:val="1"/>
                <w:sz w:val="16"/>
              </w:rPr>
              <w:t xml:space="preserve"> </w:t>
            </w:r>
          </w:p>
        </w:tc>
        <w:tc>
          <w:tcPr>
            <w:tcW w:w="1162" w:type="dxa"/>
            <w:tcBorders>
              <w:top w:val="single" w:sz="4" w:color="000000"/>
              <w:left w:val="single" w:sz="4" w:color="000000"/>
              <w:bottom w:val="single" w:sz="4" w:color="000000"/>
              <w:right w:val="single" w:sz="4" w:color="000000"/>
            </w:tcBorders>
            <w:vAlign w:val="bottom"/>
          </w:tcPr>
          <w:p>
            <w:pPr>
              <w:spacing w:before="0" w:after="0" w:line="259" w:lineRule="auto"/>
              <w:ind w:left="18" w:firstLine="0"/>
              <w:jc w:val="center"/>
            </w:pPr>
            <w:r>
              <w:rPr>
                <w:rFonts w:cs="Agency FB" w:hAnsi="Agency FB" w:eastAsia="Agency FB" w:ascii="Agency FB"/>
                <w:b w:val="1"/>
                <w:sz w:val="16"/>
              </w:rPr>
              <w:t xml:space="preserve">310000</w:t>
            </w:r>
            <w:r>
              <w:rPr>
                <w:rFonts w:cs="Agency FB" w:hAnsi="Agency FB" w:eastAsia="Agency FB" w:ascii="Agency FB"/>
                <w:b w:val="1"/>
                <w:sz w:val="16"/>
              </w:rPr>
              <w:t xml:space="preserve"> </w:t>
            </w:r>
          </w:p>
        </w:tc>
        <w:tc>
          <w:tcPr>
            <w:tcW w:w="1165" w:type="dxa"/>
            <w:tcBorders>
              <w:top w:val="single" w:sz="4" w:color="000000"/>
              <w:left w:val="single" w:sz="4" w:color="000000"/>
              <w:bottom w:val="single" w:sz="4" w:color="000000"/>
              <w:right w:val="single" w:sz="4" w:color="000000"/>
            </w:tcBorders>
            <w:vAlign w:val="bottom"/>
          </w:tcPr>
          <w:p>
            <w:pPr>
              <w:spacing w:before="0" w:after="0" w:line="259" w:lineRule="auto"/>
              <w:ind w:left="20" w:firstLine="0"/>
              <w:jc w:val="center"/>
            </w:pPr>
            <w:r>
              <w:rPr>
                <w:rFonts w:cs="Agency FB" w:hAnsi="Agency FB" w:eastAsia="Agency FB" w:ascii="Agency FB"/>
                <w:b w:val="1"/>
                <w:sz w:val="16"/>
              </w:rPr>
              <w:t xml:space="preserve">240000</w:t>
            </w:r>
            <w:r>
              <w:rPr>
                <w:rFonts w:cs="Agency FB" w:hAnsi="Agency FB" w:eastAsia="Agency FB" w:ascii="Agency FB"/>
                <w:b w:val="1"/>
                <w:sz w:val="16"/>
              </w:rPr>
              <w:t xml:space="preserve"> </w:t>
            </w:r>
          </w:p>
        </w:tc>
        <w:tc>
          <w:tcPr>
            <w:tcW w:w="1699" w:type="dxa"/>
            <w:tcBorders>
              <w:top w:val="single" w:sz="4" w:color="000000"/>
              <w:left w:val="single" w:sz="4" w:color="000000"/>
              <w:bottom w:val="single" w:sz="4" w:color="000000"/>
              <w:right w:val="single" w:sz="4" w:color="000000"/>
            </w:tcBorders>
            <w:vAlign w:val="bottom"/>
          </w:tcPr>
          <w:p>
            <w:pPr>
              <w:spacing w:before="0" w:after="0" w:line="259" w:lineRule="auto"/>
              <w:ind w:left="20" w:firstLine="0"/>
              <w:jc w:val="center"/>
            </w:pPr>
            <w:r>
              <w:rPr>
                <w:rFonts w:cs="Agency FB" w:hAnsi="Agency FB" w:eastAsia="Agency FB" w:ascii="Agency FB"/>
                <w:b w:val="1"/>
                <w:sz w:val="16"/>
              </w:rPr>
              <w:t xml:space="preserve">1400000</w:t>
            </w:r>
            <w:r>
              <w:rPr>
                <w:rFonts w:cs="Agency FB" w:hAnsi="Agency FB" w:eastAsia="Agency FB" w:ascii="Agency FB"/>
                <w:b w:val="1"/>
                <w:sz w:val="16"/>
              </w:rPr>
              <w:t xml:space="preserve"> </w:t>
            </w:r>
          </w:p>
        </w:tc>
      </w:tr>
      <w:tr>
        <w:trPr>
          <w:trHeight w:val="280" w:hRule="atLeast"/>
        </w:trPr>
        <w:tc>
          <w:tcPr>
            <w:tcW w:w="2834"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2269" w:type="dxa"/>
            <w:gridSpan w:val="2"/>
            <w:tcBorders>
              <w:top w:val="single" w:sz="4" w:color="000000"/>
              <w:left w:val="nil"/>
              <w:bottom w:val="single" w:sz="4" w:color="000000"/>
              <w:right w:val="nil"/>
            </w:tcBorders>
            <w:vAlign w:val="top"/>
          </w:tcPr>
          <w:p>
            <w:pPr>
              <w:spacing w:before="0" w:after="0" w:line="259" w:lineRule="auto"/>
              <w:ind w:left="-2" w:firstLine="0"/>
              <w:jc w:val="left"/>
            </w:pPr>
            <w:r>
              <w:rPr>
                <w:rFonts w:cs="Times New Roman" w:hAnsi="Times New Roman" w:eastAsia="Times New Roman" w:ascii="Times New Roman"/>
                <w:b w:val="1"/>
                <w:i w:val="1"/>
                <w:sz w:val="20"/>
              </w:rPr>
              <w:t xml:space="preserve">Gestion du projet</w:t>
            </w:r>
            <w:r>
              <w:rPr>
                <w:rFonts w:cs="Times New Roman" w:hAnsi="Times New Roman" w:eastAsia="Times New Roman" w:ascii="Times New Roman"/>
                <w:b w:val="1"/>
                <w:i w:val="1"/>
                <w:sz w:val="20"/>
              </w:rPr>
              <w:t xml:space="preserve"> </w:t>
            </w:r>
          </w:p>
        </w:tc>
        <w:tc>
          <w:tcPr>
            <w:tcW w:w="1985" w:type="dxa"/>
            <w:gridSpan w:val="2"/>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righ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right="1" w:firstLine="0"/>
              <w:jc w:val="right"/>
            </w:pPr>
            <w:r>
              <w:rPr>
                <w:rFonts w:cs="Calibri" w:hAnsi="Calibri" w:eastAsia="Calibri" w:ascii="Calibri"/>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right"/>
            </w:pPr>
            <w:r>
              <w:rPr>
                <w:rFonts w:cs="Calibri" w:hAnsi="Calibri" w:eastAsia="Calibri" w:ascii="Calibri"/>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right"/>
            </w:pPr>
            <w:r>
              <w:rPr>
                <w:rFonts w:cs="Calibri" w:hAnsi="Calibri" w:eastAsia="Calibri" w:ascii="Calibri"/>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0" w:right="2" w:firstLine="0"/>
              <w:jc w:val="right"/>
            </w:pPr>
            <w:r>
              <w:rPr>
                <w:rFonts w:cs="Calibri" w:hAnsi="Calibri" w:eastAsia="Calibri" w:ascii="Calibri"/>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center"/>
            </w:pPr>
            <w:r>
              <w:rPr>
                <w:rFonts w:cs="Calibri" w:hAnsi="Calibri" w:eastAsia="Calibri" w:ascii="Calibri"/>
              </w:rPr>
              <w:t xml:space="preserve"> </w:t>
            </w:r>
          </w:p>
        </w:tc>
      </w:tr>
      <w:tr>
        <w:trPr>
          <w:trHeight w:val="216" w:hRule="atLeast"/>
        </w:trPr>
        <w:tc>
          <w:tcPr>
            <w:tcW w:w="2834" w:type="dxa"/>
            <w:tcBorders>
              <w:top w:val="single" w:sz="4" w:color="000000"/>
              <w:left w:val="single" w:sz="4" w:color="000000"/>
              <w:bottom w:val="single" w:sz="4" w:color="000000"/>
              <w:right w:val="nil"/>
            </w:tcBorders>
            <w:vAlign w:val="top"/>
          </w:tcPr>
          <w:p>
            <w:pPr>
              <w:spacing w:before="0" w:after="0" w:line="259" w:lineRule="auto"/>
              <w:ind w:left="68" w:firstLine="0"/>
              <w:jc w:val="left"/>
            </w:pPr>
            <w:r>
              <w:rPr>
                <w:sz w:val="18"/>
              </w:rPr>
              <w:t xml:space="preserve">Personnel unité de coordination</w:t>
            </w:r>
            <w:r>
              <w:rPr>
                <w:sz w:val="18"/>
              </w:rPr>
              <w:t xml:space="preserve"> </w:t>
            </w:r>
          </w:p>
        </w:tc>
        <w:tc>
          <w:tcPr>
            <w:tcW w:w="2269" w:type="dxa"/>
            <w:gridSpan w:val="2"/>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14 000   </w:t>
            </w: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89 000   </w:t>
            </w: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89 000   </w:t>
            </w:r>
            <w:r>
              <w:rPr>
                <w:rFonts w:cs="Calibri" w:hAnsi="Calibri" w:eastAsia="Calibri" w:ascii="Calibri"/>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89 000   </w:t>
            </w:r>
            <w:r>
              <w:rPr>
                <w:rFonts w:cs="Calibri" w:hAnsi="Calibri" w:eastAsia="Calibri" w:ascii="Calibri"/>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89 000   </w:t>
            </w:r>
            <w:r>
              <w:rPr>
                <w:rFonts w:cs="Calibri" w:hAnsi="Calibri" w:eastAsia="Calibri" w:ascii="Calibri"/>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370 000   </w:t>
            </w:r>
            <w:r>
              <w:rPr>
                <w:rFonts w:cs="Calibri" w:hAnsi="Calibri" w:eastAsia="Calibri" w:ascii="Calibri"/>
                <w:sz w:val="16"/>
              </w:rPr>
              <w:t xml:space="preserve"> </w:t>
            </w:r>
          </w:p>
        </w:tc>
      </w:tr>
      <w:tr>
        <w:trPr>
          <w:trHeight w:val="216" w:hRule="atLeast"/>
        </w:trPr>
        <w:tc>
          <w:tcPr>
            <w:tcW w:w="2834" w:type="dxa"/>
            <w:tcBorders>
              <w:top w:val="single" w:sz="4" w:color="000000"/>
              <w:left w:val="single" w:sz="4" w:color="000000"/>
              <w:bottom w:val="single" w:sz="4" w:color="000000"/>
              <w:right w:val="nil"/>
            </w:tcBorders>
            <w:vAlign w:val="top"/>
          </w:tcPr>
          <w:p>
            <w:pPr>
              <w:spacing w:before="0" w:after="0" w:line="259" w:lineRule="auto"/>
              <w:ind w:left="68" w:firstLine="0"/>
              <w:jc w:val="left"/>
            </w:pPr>
            <w:r>
              <w:rPr>
                <w:sz w:val="18"/>
              </w:rPr>
              <w:t xml:space="preserve">Equipement</w:t>
            </w:r>
            <w:r>
              <w:rPr>
                <w:sz w:val="18"/>
              </w:rPr>
              <w:t xml:space="preserve">  </w:t>
            </w:r>
          </w:p>
        </w:tc>
        <w:tc>
          <w:tcPr>
            <w:tcW w:w="2269" w:type="dxa"/>
            <w:gridSpan w:val="2"/>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97 500   </w:t>
            </w: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8 500   </w:t>
            </w: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3 400   </w:t>
            </w:r>
            <w:r>
              <w:rPr>
                <w:rFonts w:cs="Calibri" w:hAnsi="Calibri" w:eastAsia="Calibri" w:ascii="Calibri"/>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3 400   </w:t>
            </w:r>
            <w:r>
              <w:rPr>
                <w:rFonts w:cs="Calibri" w:hAnsi="Calibri" w:eastAsia="Calibri" w:ascii="Calibri"/>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112 800   </w:t>
            </w:r>
            <w:r>
              <w:rPr>
                <w:rFonts w:cs="Calibri" w:hAnsi="Calibri" w:eastAsia="Calibri" w:ascii="Calibri"/>
                <w:sz w:val="16"/>
              </w:rPr>
              <w:t xml:space="preserve"> </w:t>
            </w:r>
          </w:p>
        </w:tc>
      </w:tr>
      <w:tr>
        <w:trPr>
          <w:trHeight w:val="218" w:hRule="atLeast"/>
        </w:trPr>
        <w:tc>
          <w:tcPr>
            <w:tcW w:w="2834" w:type="dxa"/>
            <w:tcBorders>
              <w:top w:val="single" w:sz="4" w:color="000000"/>
              <w:left w:val="single" w:sz="4" w:color="000000"/>
              <w:bottom w:val="single" w:sz="4" w:color="000000"/>
              <w:right w:val="nil"/>
            </w:tcBorders>
            <w:vAlign w:val="top"/>
          </w:tcPr>
          <w:p>
            <w:pPr>
              <w:spacing w:before="0" w:after="0" w:line="259" w:lineRule="auto"/>
              <w:ind w:left="68" w:firstLine="0"/>
              <w:jc w:val="left"/>
            </w:pPr>
            <w:r>
              <w:rPr>
                <w:sz w:val="18"/>
              </w:rPr>
              <w:t xml:space="preserve">Fonctionnement</w:t>
            </w:r>
            <w:r>
              <w:rPr>
                <w:sz w:val="18"/>
              </w:rPr>
              <w:t xml:space="preserve"> </w:t>
            </w:r>
          </w:p>
        </w:tc>
        <w:tc>
          <w:tcPr>
            <w:tcW w:w="2269" w:type="dxa"/>
            <w:gridSpan w:val="2"/>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20 000   </w:t>
            </w: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112 000   </w:t>
            </w: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110 000   </w:t>
            </w:r>
            <w:r>
              <w:rPr>
                <w:rFonts w:cs="Calibri" w:hAnsi="Calibri" w:eastAsia="Calibri" w:ascii="Calibri"/>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109 000   </w:t>
            </w:r>
            <w:r>
              <w:rPr>
                <w:rFonts w:cs="Calibri" w:hAnsi="Calibri" w:eastAsia="Calibri" w:ascii="Calibri"/>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102 000   </w:t>
            </w:r>
            <w:r>
              <w:rPr>
                <w:rFonts w:cs="Calibri" w:hAnsi="Calibri" w:eastAsia="Calibri" w:ascii="Calibri"/>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453 000   </w:t>
            </w:r>
            <w:r>
              <w:rPr>
                <w:rFonts w:cs="Calibri" w:hAnsi="Calibri" w:eastAsia="Calibri" w:ascii="Calibri"/>
                <w:sz w:val="16"/>
              </w:rPr>
              <w:t xml:space="preserve"> </w:t>
            </w:r>
          </w:p>
        </w:tc>
      </w:tr>
      <w:tr>
        <w:trPr>
          <w:trHeight w:val="217" w:hRule="atLeast"/>
        </w:trPr>
        <w:tc>
          <w:tcPr>
            <w:tcW w:w="2834" w:type="dxa"/>
            <w:tcBorders>
              <w:top w:val="single" w:sz="4" w:color="000000"/>
              <w:left w:val="single" w:sz="4" w:color="000000"/>
              <w:bottom w:val="single" w:sz="4" w:color="000000"/>
              <w:right w:val="nil"/>
            </w:tcBorders>
            <w:vAlign w:val="top"/>
          </w:tcPr>
          <w:p>
            <w:pPr>
              <w:spacing w:before="0" w:after="0" w:line="259" w:lineRule="auto"/>
              <w:ind w:left="68" w:firstLine="0"/>
              <w:jc w:val="left"/>
            </w:pPr>
            <w:r>
              <w:rPr>
                <w:sz w:val="18"/>
              </w:rPr>
              <w:t xml:space="preserve">Audits Evaluation</w:t>
            </w:r>
            <w:r>
              <w:rPr>
                <w:sz w:val="18"/>
              </w:rPr>
              <w:t xml:space="preserve"> </w:t>
            </w:r>
          </w:p>
        </w:tc>
        <w:tc>
          <w:tcPr>
            <w:tcW w:w="2269" w:type="dxa"/>
            <w:gridSpan w:val="2"/>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p>
        </w:tc>
        <w:tc>
          <w:tcPr>
            <w:tcW w:w="1163"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3 400   </w:t>
            </w:r>
            <w:r>
              <w:rPr>
                <w:rFonts w:cs="Calibri" w:hAnsi="Calibri" w:eastAsia="Calibri" w:ascii="Calibri"/>
                <w:sz w:val="16"/>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p>
        </w:tc>
        <w:tc>
          <w:tcPr>
            <w:tcW w:w="1165"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20 800   </w:t>
            </w:r>
            <w:r>
              <w:rPr>
                <w:rFonts w:cs="Calibri" w:hAnsi="Calibri" w:eastAsia="Calibri" w:ascii="Calibri"/>
                <w:sz w:val="16"/>
              </w:rPr>
              <w:t xml:space="preserve"> </w:t>
            </w:r>
          </w:p>
        </w:tc>
        <w:tc>
          <w:tcPr>
            <w:tcW w:w="1699" w:type="dxa"/>
            <w:tcBorders>
              <w:top w:val="single" w:sz="4" w:color="000000"/>
              <w:left w:val="single" w:sz="4" w:color="000000"/>
              <w:bottom w:val="single" w:sz="4" w:color="000000"/>
              <w:right w:val="single" w:sz="4" w:color="000000"/>
            </w:tcBorders>
            <w:vAlign w:val="top"/>
          </w:tcPr>
          <w:p>
            <w:pPr>
              <w:spacing w:before="0" w:after="0" w:line="259" w:lineRule="auto"/>
              <w:ind w:left="70" w:firstLine="0"/>
              <w:jc w:val="left"/>
            </w:pPr>
            <w:r>
              <w:rPr>
                <w:rFonts w:cs="Calibri" w:hAnsi="Calibri" w:eastAsia="Calibri" w:ascii="Calibri"/>
                <w:sz w:val="16"/>
              </w:rPr>
              <w:t xml:space="preserve">             </w:t>
            </w:r>
            <w:r>
              <w:rPr>
                <w:rFonts w:cs="Calibri" w:hAnsi="Calibri" w:eastAsia="Calibri" w:ascii="Calibri"/>
                <w:sz w:val="16"/>
              </w:rPr>
              <w:t xml:space="preserve">24 200   </w:t>
            </w:r>
            <w:r>
              <w:rPr>
                <w:rFonts w:cs="Calibri" w:hAnsi="Calibri" w:eastAsia="Calibri" w:ascii="Calibri"/>
                <w:sz w:val="16"/>
              </w:rPr>
              <w:t xml:space="preserve"> </w:t>
            </w:r>
          </w:p>
        </w:tc>
      </w:tr>
      <w:tr>
        <w:trPr>
          <w:trHeight w:val="253" w:hRule="atLeast"/>
        </w:trPr>
        <w:tc>
          <w:tcPr>
            <w:tcW w:w="2834" w:type="dxa"/>
            <w:tcBorders>
              <w:top w:val="single" w:sz="4" w:color="000000"/>
              <w:left w:val="single" w:sz="4" w:color="000000"/>
              <w:bottom w:val="single" w:sz="4" w:color="000000"/>
              <w:right w:val="nil"/>
            </w:tcBorders>
            <w:shd w:val="clear" w:fill="c6d9f1"/>
            <w:vAlign w:val="top"/>
          </w:tcPr>
          <w:p>
            <w:pPr>
              <w:spacing w:before="0" w:after="0" w:line="259" w:lineRule="auto"/>
              <w:ind w:left="68" w:firstLine="0"/>
              <w:jc w:val="left"/>
            </w:pPr>
            <w:r>
              <w:rPr>
                <w:rFonts w:cs="Times New Roman" w:hAnsi="Times New Roman" w:eastAsia="Times New Roman" w:ascii="Times New Roman"/>
                <w:b w:val="1"/>
                <w:sz w:val="20"/>
              </w:rPr>
              <w:t xml:space="preserve">Sous total Gestion du projet</w:t>
            </w:r>
            <w:r>
              <w:rPr>
                <w:rFonts w:cs="Times New Roman" w:hAnsi="Times New Roman" w:eastAsia="Times New Roman" w:ascii="Times New Roman"/>
                <w:b w:val="1"/>
                <w:sz w:val="20"/>
              </w:rPr>
              <w:t xml:space="preserve"> </w:t>
            </w:r>
          </w:p>
        </w:tc>
        <w:tc>
          <w:tcPr>
            <w:tcW w:w="2269" w:type="dxa"/>
            <w:gridSpan w:val="2"/>
            <w:tcBorders>
              <w:top w:val="single" w:sz="4" w:color="000000"/>
              <w:left w:val="nil"/>
              <w:bottom w:val="single" w:sz="4" w:color="000000"/>
              <w:right w:val="nil"/>
            </w:tcBorders>
            <w:shd w:val="clear" w:fill="c6d9f1"/>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shd w:val="clear" w:fill="c6d9f1"/>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right="48" w:firstLine="0"/>
              <w:jc w:val="right"/>
            </w:pPr>
            <w:r>
              <w:rPr>
                <w:rFonts w:cs="Calibri" w:hAnsi="Calibri" w:eastAsia="Calibri" w:ascii="Calibri"/>
                <w:b w:val="1"/>
                <w:sz w:val="16"/>
              </w:rPr>
              <w:t xml:space="preserve">131 500</w:t>
            </w:r>
            <w:r>
              <w:rPr>
                <w:rFonts w:cs="Calibri" w:hAnsi="Calibri" w:eastAsia="Calibri" w:ascii="Calibri"/>
                <w:b w:val="1"/>
                <w:sz w:val="16"/>
              </w:rPr>
              <w:t xml:space="preserve"> </w:t>
            </w:r>
          </w:p>
        </w:tc>
        <w:tc>
          <w:tcPr>
            <w:tcW w:w="1163" w:type="dxa"/>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right="49" w:firstLine="0"/>
              <w:jc w:val="right"/>
            </w:pPr>
            <w:r>
              <w:rPr>
                <w:rFonts w:cs="Calibri" w:hAnsi="Calibri" w:eastAsia="Calibri" w:ascii="Calibri"/>
                <w:b w:val="1"/>
                <w:sz w:val="16"/>
              </w:rPr>
              <w:t xml:space="preserve">209 500</w:t>
            </w:r>
            <w:r>
              <w:rPr>
                <w:rFonts w:cs="Calibri" w:hAnsi="Calibri" w:eastAsia="Calibri" w:ascii="Calibri"/>
                <w:b w:val="1"/>
                <w:sz w:val="16"/>
              </w:rPr>
              <w:t xml:space="preserve"> </w:t>
            </w:r>
          </w:p>
        </w:tc>
        <w:tc>
          <w:tcPr>
            <w:tcW w:w="1163" w:type="dxa"/>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right="48" w:firstLine="0"/>
              <w:jc w:val="right"/>
            </w:pPr>
            <w:r>
              <w:rPr>
                <w:rFonts w:cs="Calibri" w:hAnsi="Calibri" w:eastAsia="Calibri" w:ascii="Calibri"/>
                <w:b w:val="1"/>
                <w:sz w:val="16"/>
              </w:rPr>
              <w:t xml:space="preserve">205 800</w:t>
            </w:r>
            <w:r>
              <w:rPr>
                <w:rFonts w:cs="Calibri" w:hAnsi="Calibri" w:eastAsia="Calibri" w:ascii="Calibri"/>
                <w:b w:val="1"/>
                <w:sz w:val="16"/>
              </w:rPr>
              <w:t xml:space="preserve"> </w:t>
            </w:r>
          </w:p>
        </w:tc>
        <w:tc>
          <w:tcPr>
            <w:tcW w:w="1162" w:type="dxa"/>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right="48" w:firstLine="0"/>
              <w:jc w:val="right"/>
            </w:pPr>
            <w:r>
              <w:rPr>
                <w:rFonts w:cs="Calibri" w:hAnsi="Calibri" w:eastAsia="Calibri" w:ascii="Calibri"/>
                <w:b w:val="1"/>
                <w:sz w:val="16"/>
              </w:rPr>
              <w:t xml:space="preserve">201 400</w:t>
            </w:r>
            <w:r>
              <w:rPr>
                <w:rFonts w:cs="Calibri" w:hAnsi="Calibri" w:eastAsia="Calibri" w:ascii="Calibri"/>
                <w:b w:val="1"/>
                <w:sz w:val="16"/>
              </w:rPr>
              <w:t xml:space="preserve"> </w:t>
            </w:r>
          </w:p>
        </w:tc>
        <w:tc>
          <w:tcPr>
            <w:tcW w:w="1165" w:type="dxa"/>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right="51" w:firstLine="0"/>
              <w:jc w:val="right"/>
            </w:pPr>
            <w:r>
              <w:rPr>
                <w:rFonts w:cs="Calibri" w:hAnsi="Calibri" w:eastAsia="Calibri" w:ascii="Calibri"/>
                <w:b w:val="1"/>
                <w:sz w:val="16"/>
              </w:rPr>
              <w:t xml:space="preserve">211 800</w:t>
            </w:r>
            <w:r>
              <w:rPr>
                <w:rFonts w:cs="Calibri" w:hAnsi="Calibri" w:eastAsia="Calibri" w:ascii="Calibri"/>
                <w:b w:val="1"/>
                <w:sz w:val="16"/>
              </w:rPr>
              <w:t xml:space="preserve"> </w:t>
            </w:r>
          </w:p>
        </w:tc>
        <w:tc>
          <w:tcPr>
            <w:tcW w:w="1699" w:type="dxa"/>
            <w:tcBorders>
              <w:top w:val="single" w:sz="4" w:color="000000"/>
              <w:left w:val="single" w:sz="4" w:color="000000"/>
              <w:bottom w:val="single" w:sz="4" w:color="000000"/>
              <w:right w:val="single" w:sz="4" w:color="000000"/>
            </w:tcBorders>
            <w:shd w:val="clear" w:fill="c6d9f1"/>
            <w:vAlign w:val="top"/>
          </w:tcPr>
          <w:p>
            <w:pPr>
              <w:spacing w:before="0" w:after="0" w:line="259" w:lineRule="auto"/>
              <w:ind w:left="0" w:right="48" w:firstLine="0"/>
              <w:jc w:val="right"/>
            </w:pPr>
            <w:r>
              <w:rPr>
                <w:rFonts w:cs="Calibri" w:hAnsi="Calibri" w:eastAsia="Calibri" w:ascii="Calibri"/>
                <w:b w:val="1"/>
                <w:sz w:val="16"/>
              </w:rPr>
              <w:t xml:space="preserve">960 000</w:t>
            </w:r>
            <w:r>
              <w:rPr>
                <w:rFonts w:cs="Calibri" w:hAnsi="Calibri" w:eastAsia="Calibri" w:ascii="Calibri"/>
                <w:b w:val="1"/>
                <w:sz w:val="16"/>
              </w:rPr>
              <w:t xml:space="preserve"> </w:t>
            </w:r>
          </w:p>
        </w:tc>
      </w:tr>
      <w:tr>
        <w:trPr>
          <w:trHeight w:val="251" w:hRule="atLeast"/>
        </w:trPr>
        <w:tc>
          <w:tcPr>
            <w:tcW w:w="2834" w:type="dxa"/>
            <w:tcBorders>
              <w:top w:val="single" w:sz="4" w:color="000000"/>
              <w:left w:val="single" w:sz="4" w:color="000000"/>
              <w:bottom w:val="single" w:sz="4" w:color="000000"/>
              <w:right w:val="nil"/>
            </w:tcBorders>
            <w:shd w:val="clear" w:fill="ffc000"/>
            <w:vAlign w:val="top"/>
          </w:tcPr>
          <w:p>
            <w:pPr>
              <w:spacing w:before="0" w:after="0" w:line="259" w:lineRule="auto"/>
              <w:ind w:left="68" w:firstLine="0"/>
              <w:jc w:val="left"/>
            </w:pPr>
            <w:r>
              <w:rPr>
                <w:rFonts w:cs="Times New Roman" w:hAnsi="Times New Roman" w:eastAsia="Times New Roman" w:ascii="Times New Roman"/>
                <w:b w:val="1"/>
                <w:sz w:val="20"/>
              </w:rPr>
              <w:t xml:space="preserve">TOTAL</w:t>
            </w:r>
            <w:r>
              <w:rPr>
                <w:rFonts w:cs="Times New Roman" w:hAnsi="Times New Roman" w:eastAsia="Times New Roman" w:ascii="Times New Roman"/>
                <w:b w:val="1"/>
                <w:sz w:val="20"/>
              </w:rPr>
              <w:t xml:space="preserve"> </w:t>
            </w:r>
          </w:p>
        </w:tc>
        <w:tc>
          <w:tcPr>
            <w:tcW w:w="2269" w:type="dxa"/>
            <w:gridSpan w:val="2"/>
            <w:tcBorders>
              <w:top w:val="single" w:sz="4" w:color="000000"/>
              <w:left w:val="nil"/>
              <w:bottom w:val="single" w:sz="4" w:color="000000"/>
              <w:right w:val="nil"/>
            </w:tcBorders>
            <w:shd w:val="clear" w:fill="ffc000"/>
            <w:vAlign w:val="top"/>
          </w:tcPr>
          <w:p>
            <w:pPr>
              <w:bidi w:val="0"/>
              <w:spacing w:before="0" w:after="160" w:line="259" w:lineRule="auto"/>
              <w:ind w:left="0" w:right="0" w:firstLine="0"/>
              <w:jc w:val="left"/>
            </w:pPr>
          </w:p>
        </w:tc>
        <w:tc>
          <w:tcPr>
            <w:tcW w:w="1985" w:type="dxa"/>
            <w:gridSpan w:val="2"/>
            <w:tcBorders>
              <w:top w:val="single" w:sz="4" w:color="000000"/>
              <w:left w:val="nil"/>
              <w:bottom w:val="single" w:sz="4" w:color="000000"/>
              <w:right w:val="single" w:sz="4" w:color="000000"/>
            </w:tcBorders>
            <w:shd w:val="clear" w:fill="ffc000"/>
            <w:vAlign w:val="top"/>
          </w:tcPr>
          <w:p>
            <w:pPr>
              <w:bidi w:val="0"/>
              <w:spacing w:before="0" w:after="160" w:line="259" w:lineRule="auto"/>
              <w:ind w:left="0" w:right="0" w:firstLine="0"/>
              <w:jc w:val="left"/>
            </w:pPr>
          </w:p>
        </w:tc>
        <w:tc>
          <w:tcPr>
            <w:tcW w:w="1303" w:type="dxa"/>
            <w:tcBorders>
              <w:top w:val="single" w:sz="4" w:color="000000"/>
              <w:left w:val="single" w:sz="4" w:color="000000"/>
              <w:bottom w:val="single" w:sz="4" w:color="000000"/>
              <w:right w:val="single" w:sz="4" w:color="000000"/>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131 500   </w:t>
            </w:r>
            <w:r>
              <w:rPr>
                <w:rFonts w:cs="Calibri" w:hAnsi="Calibri" w:eastAsia="Calibri" w:ascii="Calibri"/>
                <w:b w:val="1"/>
                <w:sz w:val="16"/>
              </w:rPr>
              <w:t xml:space="preserve"> </w:t>
            </w:r>
          </w:p>
        </w:tc>
        <w:tc>
          <w:tcPr>
            <w:tcW w:w="1163" w:type="dxa"/>
            <w:tcBorders>
              <w:top w:val="single" w:sz="4" w:color="000000"/>
              <w:left w:val="single" w:sz="4" w:color="000000"/>
              <w:bottom w:val="single" w:sz="4" w:color="000000"/>
              <w:right w:val="single" w:sz="4" w:color="000000"/>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1 284 500   </w:t>
            </w:r>
            <w:r>
              <w:rPr>
                <w:rFonts w:cs="Calibri" w:hAnsi="Calibri" w:eastAsia="Calibri" w:ascii="Calibri"/>
                <w:b w:val="1"/>
                <w:sz w:val="16"/>
              </w:rPr>
              <w:t xml:space="preserve"> </w:t>
            </w:r>
          </w:p>
        </w:tc>
        <w:tc>
          <w:tcPr>
            <w:tcW w:w="1163" w:type="dxa"/>
            <w:tcBorders>
              <w:top w:val="single" w:sz="4" w:color="000000"/>
              <w:left w:val="single" w:sz="4" w:color="000000"/>
              <w:bottom w:val="single" w:sz="4" w:color="000000"/>
              <w:right w:val="single" w:sz="4" w:color="000000"/>
            </w:tcBorders>
            <w:shd w:val="clear" w:fill="ffc000"/>
            <w:vAlign w:val="top"/>
          </w:tcPr>
          <w:p>
            <w:pPr>
              <w:spacing w:before="0" w:after="0" w:line="259" w:lineRule="auto"/>
              <w:ind w:left="71" w:firstLine="0"/>
              <w:jc w:val="left"/>
            </w:pPr>
            <w:r>
              <w:rPr>
                <w:rFonts w:cs="Calibri" w:hAnsi="Calibri" w:eastAsia="Calibri" w:ascii="Calibri"/>
                <w:b w:val="1"/>
                <w:sz w:val="16"/>
              </w:rPr>
              <w:t xml:space="preserve">       </w:t>
            </w:r>
            <w:r>
              <w:rPr>
                <w:rFonts w:cs="Calibri" w:hAnsi="Calibri" w:eastAsia="Calibri" w:ascii="Calibri"/>
                <w:b w:val="1"/>
                <w:sz w:val="16"/>
              </w:rPr>
              <w:t xml:space="preserve">1 275 800   </w:t>
            </w:r>
            <w:r>
              <w:rPr>
                <w:rFonts w:cs="Calibri" w:hAnsi="Calibri" w:eastAsia="Calibri" w:ascii="Calibri"/>
                <w:b w:val="1"/>
                <w:sz w:val="16"/>
              </w:rPr>
              <w:t xml:space="preserve"> </w:t>
            </w:r>
          </w:p>
        </w:tc>
        <w:tc>
          <w:tcPr>
            <w:tcW w:w="1162" w:type="dxa"/>
            <w:tcBorders>
              <w:top w:val="single" w:sz="4" w:color="000000"/>
              <w:left w:val="single" w:sz="4" w:color="000000"/>
              <w:bottom w:val="single" w:sz="4" w:color="000000"/>
              <w:right w:val="single" w:sz="4" w:color="000000"/>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796 400   </w:t>
            </w:r>
            <w:r>
              <w:rPr>
                <w:rFonts w:cs="Calibri" w:hAnsi="Calibri" w:eastAsia="Calibri" w:ascii="Calibri"/>
                <w:b w:val="1"/>
                <w:sz w:val="16"/>
              </w:rPr>
              <w:t xml:space="preserve"> </w:t>
            </w:r>
          </w:p>
        </w:tc>
        <w:tc>
          <w:tcPr>
            <w:tcW w:w="1165" w:type="dxa"/>
            <w:tcBorders>
              <w:top w:val="single" w:sz="4" w:color="000000"/>
              <w:left w:val="single" w:sz="4" w:color="000000"/>
              <w:bottom w:val="single" w:sz="4" w:color="000000"/>
              <w:right w:val="single" w:sz="4" w:color="000000"/>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511 800   </w:t>
            </w:r>
            <w:r>
              <w:rPr>
                <w:rFonts w:cs="Calibri" w:hAnsi="Calibri" w:eastAsia="Calibri" w:ascii="Calibri"/>
                <w:b w:val="1"/>
                <w:sz w:val="16"/>
              </w:rPr>
              <w:t xml:space="preserve"> </w:t>
            </w:r>
          </w:p>
        </w:tc>
        <w:tc>
          <w:tcPr>
            <w:tcW w:w="1699" w:type="dxa"/>
            <w:tcBorders>
              <w:top w:val="single" w:sz="4" w:color="000000"/>
              <w:left w:val="single" w:sz="4" w:color="000000"/>
              <w:bottom w:val="single" w:sz="4" w:color="000000"/>
              <w:right w:val="single" w:sz="4" w:color="000000"/>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4 000 000   </w:t>
            </w:r>
            <w:r>
              <w:rPr>
                <w:rFonts w:cs="Calibri" w:hAnsi="Calibri" w:eastAsia="Calibri" w:ascii="Calibri"/>
                <w:b w:val="1"/>
                <w:sz w:val="16"/>
              </w:rPr>
              <w:t xml:space="preserve"> </w:t>
            </w:r>
          </w:p>
        </w:tc>
      </w:tr>
    </w:tbl>
    <w:p>
      <w:pPr>
        <w:spacing w:before="0" w:after="0" w:line="259" w:lineRule="auto"/>
        <w:ind w:left="0" w:firstLine="0"/>
        <w:jc w:val="left"/>
      </w:pPr>
      <w:r>
        <w:rPr>
          <w:sz w:val="24"/>
        </w:rPr>
        <w:t xml:space="preserve"> </w:t>
      </w:r>
    </w:p>
    <w:p>
      <w:pPr>
        <w:spacing w:before="0" w:after="19" w:line="259" w:lineRule="auto"/>
        <w:ind w:left="0" w:firstLine="0"/>
        <w:jc w:val="left"/>
      </w:pPr>
      <w:r>
        <w:rPr>
          <w:sz w:val="24"/>
        </w:rPr>
        <w:t xml:space="preserve"> </w:t>
      </w:r>
    </w:p>
    <w:p>
      <w:pPr>
        <w:spacing w:before="0" w:after="0" w:line="259" w:lineRule="auto"/>
        <w:ind w:left="0" w:firstLine="0"/>
      </w:pPr>
      <w:r>
        <w:rPr>
          <w:rFonts w:cs="Times New Roman" w:hAnsi="Times New Roman" w:eastAsia="Times New Roman" w:ascii="Times New Roman"/>
          <w:b w:val="1"/>
          <w:sz w:val="28"/>
        </w:rPr>
        <w:t xml:space="preserve"> 	 </w:t>
      </w:r>
    </w:p>
    <w:p>
      <w:pPr>
        <w:pStyle w:val="heading3"/>
        <w:spacing w:before="0" w:after="0" w:line="259" w:lineRule="auto"/>
        <w:ind w:left="0" w:right="0" w:firstLine="0"/>
      </w:pPr>
      <w:r>
        <w:rPr>
          <w:rFonts w:cs="Cambria" w:hAnsi="Cambria" w:eastAsia="Cambria" w:ascii="Cambria"/>
          <w:sz w:val="26"/>
        </w:rPr>
        <w:t xml:space="preserve">4.3 </w:t>
      </w:r>
      <w:r>
        <w:rPr>
          <w:rFonts w:cs="Cambria" w:hAnsi="Cambria" w:eastAsia="Cambria" w:ascii="Cambria"/>
          <w:sz w:val="26"/>
        </w:rPr>
        <w:t xml:space="preserve">Plans</w:t>
      </w:r>
      <w:r>
        <w:rPr>
          <w:rFonts w:cs="Cambria" w:hAnsi="Cambria" w:eastAsia="Cambria" w:ascii="Cambria"/>
          <w:sz w:val="26"/>
        </w:rPr>
        <w:t xml:space="preserve"> </w:t>
      </w:r>
      <w:r>
        <w:rPr>
          <w:rFonts w:cs="Cambria" w:hAnsi="Cambria" w:eastAsia="Cambria" w:ascii="Cambria"/>
          <w:sz w:val="26"/>
        </w:rPr>
        <w:t xml:space="preserve">de travail annuel</w:t>
      </w:r>
      <w:r>
        <w:rPr>
          <w:rFonts w:cs="Cambria" w:hAnsi="Cambria" w:eastAsia="Cambria" w:ascii="Cambria"/>
          <w:sz w:val="26"/>
        </w:rPr>
        <w:t xml:space="preserve"> </w:t>
      </w:r>
    </w:p>
    <w:p>
      <w:pPr>
        <w:spacing w:before="0" w:after="0" w:line="259" w:lineRule="auto"/>
        <w:ind w:left="0" w:firstLine="0"/>
        <w:jc w:val="left"/>
      </w:pPr>
      <w:r>
        <w:rPr>
          <w:sz w:val="24"/>
        </w:rPr>
        <w:t xml:space="preserve"> </w:t>
      </w:r>
    </w:p>
    <w:p>
      <w:pPr>
        <w:spacing w:before="0" w:after="0" w:line="259" w:lineRule="auto"/>
        <w:ind w:left="0" w:firstLine="0"/>
        <w:jc w:val="left"/>
      </w:pPr>
      <w:r>
        <w:rPr>
          <w:sz w:val="24"/>
          <w:u w:val="single" w:color="000000"/>
        </w:rPr>
        <w:t xml:space="preserve">Plan de travail 2011</w:t>
      </w:r>
      <w:r>
        <w:rPr>
          <w:sz w:val="24"/>
        </w:rPr>
        <w:t xml:space="preserve"> </w:t>
      </w:r>
    </w:p>
    <w:p>
      <w:pPr>
        <w:spacing w:before="0" w:after="0" w:line="259" w:lineRule="auto"/>
        <w:ind w:left="0" w:firstLine="0"/>
        <w:jc w:val="left"/>
      </w:pPr>
      <w:r>
        <w:rPr>
          <w:sz w:val="24"/>
        </w:rPr>
        <w:t xml:space="preserve"> </w:t>
      </w:r>
    </w:p>
    <w:tbl>
      <w:tblPr>
        <w:tblStyle w:val="TableGrid"/>
        <w:tblW w:w="14037" w:type="dxa"/>
        <w:tblInd w:w="-719" w:type="dxa"/>
        <w:tblCellMar>
          <w:top w:w="5" w:type="dxa"/>
          <w:left w:w="0" w:type="dxa"/>
          <w:bottom w:w="0" w:type="dxa"/>
          <w:right w:w="51" w:type="dxa"/>
        </w:tblCellMar>
      </w:tblPr>
      <w:tblGrid>
        <w:gridCol w:w="2699"/>
        <w:gridCol w:w="2487"/>
        <w:gridCol w:w="610"/>
        <w:gridCol w:w="607"/>
        <w:gridCol w:w="610"/>
        <w:gridCol w:w="610"/>
        <w:gridCol w:w="2256"/>
        <w:gridCol w:w="1385"/>
        <w:gridCol w:w="1388"/>
        <w:gridCol w:w="1386"/>
      </w:tblGrid>
      <w:tr>
        <w:trPr>
          <w:trHeight w:val="421" w:hRule="atLeast"/>
        </w:trPr>
        <w:tc>
          <w:tcPr>
            <w:tcW w:w="2699" w:type="dxa"/>
            <w:vMerge w:val="restart"/>
            <w:tcBorders>
              <w:top w:val="single" w:sz="4" w:color="000000"/>
              <w:left w:val="single" w:sz="4" w:color="000000"/>
              <w:bottom w:val="single" w:sz="4" w:color="000000"/>
              <w:right w:val="single" w:sz="4" w:color="000000"/>
            </w:tcBorders>
            <w:shd w:val="clear" w:fill="cccccc"/>
            <w:vAlign w:val="top"/>
          </w:tcPr>
          <w:p>
            <w:pPr>
              <w:spacing w:before="0" w:after="223" w:line="238" w:lineRule="auto"/>
              <w:ind w:left="100" w:right="5" w:firstLine="0"/>
              <w:jc w:val="center"/>
            </w:pPr>
            <w:r>
              <w:rPr>
                <w:rFonts w:cs="Times New Roman" w:hAnsi="Times New Roman" w:eastAsia="Times New Roman" w:ascii="Times New Roman"/>
                <w:b w:val="1"/>
                <w:sz w:val="18"/>
              </w:rPr>
              <w:t xml:space="preserve">PRODUITS DU CP ATTENDUS</w:t>
            </w:r>
            <w:r>
              <w:rPr>
                <w:rFonts w:cs="Times New Roman" w:hAnsi="Times New Roman" w:eastAsia="Times New Roman" w:ascii="Times New Roman"/>
                <w:b w:val="1"/>
                <w:sz w:val="18"/>
              </w:rPr>
              <w:t xml:space="preserve"> </w:t>
            </w:r>
          </w:p>
          <w:p>
            <w:pPr>
              <w:spacing w:before="0" w:after="0" w:line="259" w:lineRule="auto"/>
              <w:ind w:left="107" w:firstLine="0"/>
            </w:pPr>
            <w:r>
              <w:rPr>
                <w:rFonts w:cs="Cambria" w:hAnsi="Cambria" w:eastAsia="Cambria" w:ascii="Cambria"/>
                <w:b w:val="1"/>
                <w:sz w:val="20"/>
              </w:rPr>
              <w:t xml:space="preserve">et indicateurs, y compris les objectifs annuels</w:t>
            </w:r>
            <w:r>
              <w:rPr>
                <w:rFonts w:cs="Cambria" w:hAnsi="Cambria" w:eastAsia="Cambria" w:ascii="Cambria"/>
                <w:b w:val="1"/>
                <w:sz w:val="20"/>
              </w:rPr>
              <w:t xml:space="preserve"> </w:t>
            </w:r>
          </w:p>
        </w:tc>
        <w:tc>
          <w:tcPr>
            <w:tcW w:w="2487" w:type="dxa"/>
            <w:vMerge w:val="restart"/>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85" w:firstLine="0"/>
              <w:jc w:val="left"/>
            </w:pPr>
            <w:r>
              <w:rPr>
                <w:rFonts w:cs="Times New Roman" w:hAnsi="Times New Roman" w:eastAsia="Times New Roman" w:ascii="Times New Roman"/>
                <w:b w:val="1"/>
                <w:sz w:val="18"/>
              </w:rPr>
              <w:t xml:space="preserve">ACTIVITÉS PLANIFIÉES</w:t>
            </w:r>
            <w:r>
              <w:rPr>
                <w:rFonts w:cs="Times New Roman" w:hAnsi="Times New Roman" w:eastAsia="Times New Roman" w:ascii="Times New Roman"/>
                <w:b w:val="1"/>
                <w:sz w:val="18"/>
              </w:rPr>
              <w:t xml:space="preserve"> </w:t>
            </w:r>
          </w:p>
          <w:p>
            <w:pPr>
              <w:spacing w:before="0" w:after="0" w:line="259" w:lineRule="auto"/>
              <w:ind w:left="108" w:firstLine="0"/>
              <w:jc w:val="left"/>
            </w:pPr>
            <w:r>
              <w:rPr>
                <w:rFonts w:cs="Times New Roman" w:hAnsi="Times New Roman" w:eastAsia="Times New Roman" w:ascii="Times New Roman"/>
                <w:i w:val="1"/>
                <w:sz w:val="16"/>
              </w:rPr>
              <w:t xml:space="preserve"> </w:t>
            </w:r>
          </w:p>
        </w:tc>
        <w:tc>
          <w:tcPr>
            <w:tcW w:w="2436" w:type="dxa"/>
            <w:gridSpan w:val="4"/>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64" w:firstLine="0"/>
              <w:jc w:val="center"/>
            </w:pPr>
            <w:r>
              <w:rPr>
                <w:rFonts w:cs="Times New Roman" w:hAnsi="Times New Roman" w:eastAsia="Times New Roman" w:ascii="Times New Roman"/>
                <w:b w:val="1"/>
                <w:sz w:val="18"/>
              </w:rPr>
              <w:t xml:space="preserve">CADRE CHRONOLOGIQUE</w:t>
            </w:r>
            <w:r>
              <w:rPr>
                <w:rFonts w:cs="Times New Roman" w:hAnsi="Times New Roman" w:eastAsia="Times New Roman" w:ascii="Times New Roman"/>
                <w:b w:val="1"/>
                <w:sz w:val="18"/>
              </w:rPr>
              <w:t xml:space="preserve"> </w:t>
            </w:r>
          </w:p>
        </w:tc>
        <w:tc>
          <w:tcPr>
            <w:tcW w:w="2256" w:type="dxa"/>
            <w:vMerge w:val="restart"/>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26" w:right="32" w:firstLine="0"/>
              <w:jc w:val="center"/>
            </w:pPr>
            <w:r>
              <w:rPr>
                <w:rFonts w:cs="Times New Roman" w:hAnsi="Times New Roman" w:eastAsia="Times New Roman" w:ascii="Times New Roman"/>
                <w:b w:val="1"/>
                <w:sz w:val="18"/>
              </w:rPr>
              <w:t xml:space="preserve">PARTIE RESPONSABLE</w:t>
            </w:r>
            <w:r>
              <w:rPr>
                <w:rFonts w:cs="Times New Roman" w:hAnsi="Times New Roman" w:eastAsia="Times New Roman" w:ascii="Times New Roman"/>
                <w:b w:val="1"/>
                <w:sz w:val="18"/>
              </w:rPr>
              <w:t xml:space="preserve"> </w:t>
            </w:r>
          </w:p>
        </w:tc>
        <w:tc>
          <w:tcPr>
            <w:tcW w:w="2773" w:type="dxa"/>
            <w:gridSpan w:val="2"/>
            <w:tcBorders>
              <w:top w:val="single" w:sz="4" w:color="000000"/>
              <w:left w:val="single" w:sz="4" w:color="000000"/>
              <w:bottom w:val="single" w:sz="4" w:color="000000"/>
              <w:right w:val="nil"/>
            </w:tcBorders>
            <w:shd w:val="clear" w:fill="cccccc"/>
            <w:vAlign w:val="top"/>
          </w:tcPr>
          <w:p>
            <w:pPr>
              <w:spacing w:before="0" w:after="0" w:line="259" w:lineRule="auto"/>
              <w:ind w:left="0" w:firstLine="0"/>
              <w:jc w:val="right"/>
            </w:pPr>
            <w:r>
              <w:rPr>
                <w:rFonts w:cs="Times New Roman" w:hAnsi="Times New Roman" w:eastAsia="Times New Roman" w:ascii="Times New Roman"/>
                <w:b w:val="1"/>
                <w:sz w:val="18"/>
              </w:rPr>
              <w:t xml:space="preserve">BUDGET PLANIF</w:t>
            </w:r>
          </w:p>
          <w:p>
            <w:pPr>
              <w:spacing w:before="0" w:after="0" w:line="259" w:lineRule="auto"/>
              <w:ind w:left="108" w:firstLine="0"/>
              <w:jc w:val="left"/>
            </w:pPr>
            <w:r>
              <w:rPr>
                <w:rFonts w:cs="Times New Roman" w:hAnsi="Times New Roman" w:eastAsia="Times New Roman" w:ascii="Times New Roman"/>
                <w:i w:val="1"/>
                <w:sz w:val="16"/>
              </w:rPr>
              <w:t xml:space="preserve"> </w:t>
            </w:r>
          </w:p>
        </w:tc>
        <w:tc>
          <w:tcPr>
            <w:tcW w:w="1386" w:type="dxa"/>
            <w:tcBorders>
              <w:top w:val="single" w:sz="4" w:color="000000"/>
              <w:left w:val="nil"/>
              <w:bottom w:val="single" w:sz="4" w:color="000000"/>
              <w:right w:val="single" w:sz="4" w:color="000000"/>
            </w:tcBorders>
            <w:shd w:val="clear" w:fill="cccccc"/>
            <w:vAlign w:val="top"/>
          </w:tcPr>
          <w:p>
            <w:pPr>
              <w:spacing w:before="0" w:after="0" w:line="259" w:lineRule="auto"/>
              <w:ind w:left="-51" w:firstLine="0"/>
              <w:jc w:val="left"/>
            </w:pPr>
            <w:r>
              <w:rPr>
                <w:rFonts w:cs="Times New Roman" w:hAnsi="Times New Roman" w:eastAsia="Times New Roman" w:ascii="Times New Roman"/>
                <w:b w:val="1"/>
                <w:sz w:val="18"/>
              </w:rPr>
              <w:t xml:space="preserve">IÉ</w:t>
            </w:r>
            <w:r>
              <w:rPr>
                <w:rFonts w:cs="Times New Roman" w:hAnsi="Times New Roman" w:eastAsia="Times New Roman" w:ascii="Times New Roman"/>
                <w:b w:val="1"/>
                <w:sz w:val="18"/>
              </w:rPr>
              <w:t xml:space="preserve"> </w:t>
            </w:r>
          </w:p>
        </w:tc>
      </w:tr>
      <w:tr>
        <w:trPr>
          <w:trHeight w:val="66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1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46" w:firstLine="0"/>
              <w:jc w:val="center"/>
            </w:pPr>
            <w:r>
              <w:rPr>
                <w:sz w:val="16"/>
              </w:rPr>
              <w:t xml:space="preserve">1erT</w:t>
            </w:r>
            <w:r>
              <w:rPr>
                <w:sz w:val="16"/>
              </w:rPr>
              <w:t xml:space="preserve"> </w:t>
            </w:r>
          </w:p>
        </w:tc>
        <w:tc>
          <w:tcPr>
            <w:tcW w:w="607"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3" w:firstLine="0"/>
              <w:jc w:val="center"/>
            </w:pPr>
            <w:r>
              <w:rPr>
                <w:sz w:val="16"/>
              </w:rPr>
              <w:t xml:space="preserve">2eT</w:t>
            </w:r>
            <w:r>
              <w:rPr>
                <w:sz w:val="16"/>
              </w:rPr>
              <w:t xml:space="preserve"> </w:t>
            </w:r>
          </w:p>
        </w:tc>
        <w:tc>
          <w:tcPr>
            <w:tcW w:w="61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1" w:firstLine="0"/>
              <w:jc w:val="center"/>
            </w:pPr>
            <w:r>
              <w:rPr>
                <w:sz w:val="16"/>
              </w:rPr>
              <w:t xml:space="preserve">3eT</w:t>
            </w:r>
            <w:r>
              <w:rPr>
                <w:sz w:val="16"/>
              </w:rPr>
              <w:t xml:space="preserve"> </w:t>
            </w:r>
          </w:p>
        </w:tc>
        <w:tc>
          <w:tcPr>
            <w:tcW w:w="61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1" w:firstLine="0"/>
              <w:jc w:val="center"/>
            </w:pPr>
            <w:r>
              <w:rPr>
                <w:sz w:val="16"/>
              </w:rPr>
              <w:t xml:space="preserve">4eT</w:t>
            </w:r>
            <w:r>
              <w:rPr>
                <w:sz w:val="16"/>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85"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5" w:firstLine="0"/>
              <w:jc w:val="center"/>
            </w:pPr>
            <w:r>
              <w:rPr>
                <w:sz w:val="16"/>
              </w:rPr>
              <w:t xml:space="preserve">Source des fonds</w:t>
            </w:r>
            <w:r>
              <w:rPr>
                <w:sz w:val="16"/>
              </w:rPr>
              <w:t xml:space="preserve"> </w:t>
            </w:r>
          </w:p>
        </w:tc>
        <w:tc>
          <w:tcPr>
            <w:tcW w:w="1388"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94" w:right="6" w:firstLine="0"/>
              <w:jc w:val="center"/>
            </w:pPr>
            <w:r>
              <w:rPr>
                <w:sz w:val="16"/>
              </w:rPr>
              <w:t xml:space="preserve">Description dans le budget</w:t>
            </w:r>
            <w:r>
              <w:rPr>
                <w:sz w:val="16"/>
              </w:rPr>
              <w:t xml:space="preserve"> </w:t>
            </w:r>
          </w:p>
        </w:tc>
        <w:tc>
          <w:tcPr>
            <w:tcW w:w="1386"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4" w:firstLine="0"/>
              <w:jc w:val="center"/>
            </w:pPr>
            <w:r>
              <w:rPr>
                <w:sz w:val="16"/>
              </w:rPr>
              <w:t xml:space="preserve">Montant</w:t>
            </w:r>
            <w:r>
              <w:rPr>
                <w:sz w:val="16"/>
              </w:rPr>
              <w:t xml:space="preserve"> </w:t>
            </w:r>
          </w:p>
        </w:tc>
      </w:tr>
      <w:tr>
        <w:trPr>
          <w:trHeight w:val="563"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07" w:firstLine="0"/>
              <w:jc w:val="left"/>
            </w:pPr>
            <w:r>
              <w:rPr>
                <w:rFonts w:cs="Times New Roman" w:hAnsi="Times New Roman" w:eastAsia="Times New Roman" w:ascii="Times New Roman"/>
                <w:b w:val="1"/>
                <w:sz w:val="18"/>
              </w:rPr>
              <w:t xml:space="preserve">Produit 1. du projet</w:t>
            </w:r>
            <w:r>
              <w:rPr>
                <w:rFonts w:cs="Times New Roman" w:hAnsi="Times New Roman" w:eastAsia="Times New Roman" w:ascii="Times New Roman"/>
                <w:b w:val="1"/>
                <w:sz w:val="18"/>
              </w:rPr>
              <w:t xml:space="preserve">:</w:t>
            </w:r>
            <w:r>
              <w:rPr>
                <w:sz w:val="18"/>
              </w:rPr>
              <w:t xml:space="preserve"> </w:t>
            </w:r>
          </w:p>
          <w:p>
            <w:pPr>
              <w:spacing w:before="0" w:after="0" w:line="259" w:lineRule="auto"/>
              <w:ind w:left="107" w:right="26" w:firstLine="0"/>
              <w:jc w:val="left"/>
            </w:pPr>
            <w:r>
              <w:rPr>
                <w:rFonts w:cs="Times New Roman" w:hAnsi="Times New Roman" w:eastAsia="Times New Roman" w:ascii="Times New Roman"/>
                <w:i w:val="1"/>
                <w:sz w:val="20"/>
              </w:rPr>
              <w:t xml:space="preserve">Les structures centrales sont outillées pour assurer la prise en compte des principes du DD dans la mise en œuvre de la SCADD et des plans locaux de développement</w:t>
            </w: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Renforcement des capacités de suivi </w:t>
            </w:r>
          </w:p>
          <w:p>
            <w:pPr>
              <w:spacing w:before="0" w:after="0" w:line="259" w:lineRule="auto"/>
              <w:ind w:left="108" w:firstLine="0"/>
              <w:jc w:val="left"/>
            </w:pPr>
            <w:r>
              <w:rPr>
                <w:sz w:val="16"/>
              </w:rPr>
              <w:t xml:space="preserve">de la SCADD par  les structures du </w:t>
            </w:r>
          </w:p>
          <w:p>
            <w:pPr>
              <w:spacing w:before="0" w:after="0" w:line="259" w:lineRule="auto"/>
              <w:ind w:left="108" w:firstLine="0"/>
              <w:jc w:val="left"/>
            </w:pPr>
            <w:r>
              <w:rPr>
                <w:sz w:val="16"/>
              </w:rPr>
              <w:t xml:space="preserve">MEDD</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DEP/MEDD</w:t>
            </w:r>
            <w:r>
              <w:rPr>
                <w:rFonts w:cs="Arial" w:hAnsi="Arial" w:eastAsia="Arial" w:ascii="Arial"/>
                <w:sz w:val="16"/>
              </w:rPr>
              <w:t xml:space="preserve"> </w:t>
            </w:r>
          </w:p>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p>
            <w:pPr>
              <w:spacing w:before="0" w:after="0" w:line="259" w:lineRule="auto"/>
              <w:ind w:left="108"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28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œuvre du PNSR</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SP/CPSA</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37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au transfert de compétences de gestion des RN aux CT</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DGCN</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42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Appui à la préparation de </w:t>
            </w:r>
          </w:p>
          <w:p>
            <w:pPr>
              <w:spacing w:before="0" w:after="0" w:line="259" w:lineRule="auto"/>
              <w:ind w:left="108" w:firstLine="0"/>
              <w:jc w:val="left"/>
            </w:pPr>
            <w:r>
              <w:rPr>
                <w:sz w:val="18"/>
              </w:rPr>
              <w:t xml:space="preserve">RIO+20</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63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Appui à la concertation entre institutions d‟appui (+fonds d‟études)</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SP/CONEDD</w:t>
            </w:r>
            <w:r>
              <w:rPr>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562"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07" w:firstLine="0"/>
              <w:jc w:val="left"/>
            </w:pPr>
            <w:r>
              <w:rPr>
                <w:rFonts w:cs="Times New Roman" w:hAnsi="Times New Roman" w:eastAsia="Times New Roman" w:ascii="Times New Roman"/>
                <w:b w:val="1"/>
                <w:sz w:val="18"/>
              </w:rPr>
              <w:t xml:space="preserve"> </w:t>
            </w:r>
          </w:p>
          <w:p>
            <w:pPr>
              <w:spacing w:before="0" w:after="0" w:line="259" w:lineRule="auto"/>
              <w:ind w:left="107" w:firstLine="0"/>
              <w:jc w:val="left"/>
            </w:pPr>
            <w:r>
              <w:rPr>
                <w:rFonts w:cs="Times New Roman" w:hAnsi="Times New Roman" w:eastAsia="Times New Roman" w:ascii="Times New Roman"/>
                <w:b w:val="1"/>
                <w:sz w:val="18"/>
              </w:rPr>
              <w:t xml:space="preserve">Produit 2. du projet</w:t>
            </w:r>
            <w:r>
              <w:rPr>
                <w:rFonts w:cs="Times New Roman" w:hAnsi="Times New Roman" w:eastAsia="Times New Roman" w:ascii="Times New Roman"/>
                <w:b w:val="1"/>
                <w:sz w:val="18"/>
              </w:rPr>
              <w:t xml:space="preserve">:</w:t>
            </w:r>
            <w:r>
              <w:rPr>
                <w:sz w:val="18"/>
              </w:rPr>
              <w:t xml:space="preserve"> </w:t>
            </w:r>
          </w:p>
          <w:p>
            <w:pPr>
              <w:spacing w:before="0" w:after="0" w:line="259" w:lineRule="auto"/>
              <w:ind w:left="107" w:right="57" w:firstLine="0"/>
              <w:jc w:val="left"/>
            </w:pPr>
            <w:r>
              <w:rPr>
                <w:rFonts w:cs="Times New Roman" w:hAnsi="Times New Roman" w:eastAsia="Times New Roman" w:ascii="Times New Roman"/>
                <w:i w:val="1"/>
                <w:sz w:val="20"/>
              </w:rPr>
              <w:t xml:space="preserve">Les informations pertinentes sur l’état de l’environnement sont disponibles et permettent d’assurer le suivi de la mise en œuvre des politiques environnementales au niveau décentralisé</w:t>
            </w: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place et fonctionnement de l‟observatoire national</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 </w:t>
            </w:r>
          </w:p>
          <w:p>
            <w:pPr>
              <w:spacing w:before="0" w:after="0" w:line="259" w:lineRule="auto"/>
              <w:ind w:left="108" w:firstLine="0"/>
              <w:jc w:val="left"/>
            </w:pPr>
            <w:r>
              <w:rPr>
                <w:rFonts w:cs="Arial" w:hAnsi="Arial" w:eastAsia="Arial" w:ascii="Arial"/>
                <w:sz w:val="16"/>
              </w:rPr>
              <w:t xml:space="preserve">DEP/MEDD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56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place des bases de données environnementales (DEP, DES/DGCN)</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377"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Elaboration des Communications Nationales  DB et CC</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PNUD</w:t>
            </w:r>
            <w:r>
              <w:rPr>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37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place de systèmes d‟alerte précoces</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DCIME</w:t>
            </w:r>
            <w:r>
              <w:rPr>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37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pPr>
            <w:r>
              <w:rPr>
                <w:sz w:val="16"/>
              </w:rPr>
              <w:t xml:space="preserve">Evaluation rétrospectives environnementales</w:t>
            </w:r>
            <w:r>
              <w:rPr>
                <w:sz w:val="16"/>
              </w:rPr>
              <w:t xml:space="preserve"> </w:t>
            </w:r>
            <w:r>
              <w:rPr>
                <w:sz w:val="16"/>
              </w:rPr>
              <w:t xml:space="preserve">stratégiques</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SP/</w:t>
            </w:r>
            <w:r>
              <w:rPr>
                <w:rFonts w:cs="Arial" w:hAnsi="Arial" w:eastAsia="Arial" w:ascii="Arial"/>
                <w:sz w:val="16"/>
              </w:rPr>
              <w:t xml:space="preserve">CONEDD</w:t>
            </w:r>
            <w:r>
              <w:rPr>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747"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07" w:firstLine="0"/>
              <w:jc w:val="left"/>
            </w:pPr>
            <w:r>
              <w:rPr>
                <w:sz w:val="24"/>
              </w:rPr>
              <w:t xml:space="preserve"> </w:t>
            </w:r>
          </w:p>
          <w:p>
            <w:pPr>
              <w:spacing w:before="0" w:after="0" w:line="239" w:lineRule="auto"/>
              <w:ind w:left="107" w:right="125" w:firstLine="0"/>
            </w:pPr>
            <w:r>
              <w:rPr>
                <w:rFonts w:cs="Times New Roman" w:hAnsi="Times New Roman" w:eastAsia="Times New Roman" w:ascii="Times New Roman"/>
                <w:b w:val="1"/>
              </w:rPr>
              <w:t xml:space="preserve">Produit 3 du projet</w:t>
            </w:r>
            <w:r>
              <w:rPr>
                <w:rFonts w:cs="Times New Roman" w:hAnsi="Times New Roman" w:eastAsia="Times New Roman" w:ascii="Times New Roman"/>
                <w:b w:val="1"/>
                <w:i w:val="1"/>
              </w:rPr>
              <w:t xml:space="preserve">:</w:t>
            </w:r>
            <w:r>
              <w:rPr>
                <w:rFonts w:cs="Times New Roman" w:hAnsi="Times New Roman" w:eastAsia="Times New Roman" w:ascii="Times New Roman"/>
                <w:b w:val="1"/>
                <w:i w:val="1"/>
              </w:rPr>
              <w:t xml:space="preserve"> </w:t>
            </w:r>
            <w:r>
              <w:rPr>
                <w:rFonts w:cs="Times New Roman" w:hAnsi="Times New Roman" w:eastAsia="Times New Roman" w:ascii="Times New Roman"/>
                <w:i w:val="1"/>
                <w:sz w:val="20"/>
              </w:rPr>
              <w:t xml:space="preserve">Les plans locaux de développement sont </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résilients aux changements climatiques et</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sont </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orientés vers une </w:t>
            </w:r>
          </w:p>
          <w:p>
            <w:pPr>
              <w:spacing w:before="0" w:after="17" w:line="259" w:lineRule="auto"/>
              <w:ind w:left="107" w:firstLine="0"/>
              <w:jc w:val="left"/>
            </w:pPr>
            <w:r>
              <w:rPr>
                <w:rFonts w:cs="Times New Roman" w:hAnsi="Times New Roman" w:eastAsia="Times New Roman" w:ascii="Times New Roman"/>
                <w:i w:val="1"/>
                <w:sz w:val="20"/>
              </w:rPr>
              <w:t xml:space="preserve">faible émission de GES </w:t>
            </w:r>
            <w:r>
              <w:rPr>
                <w:rFonts w:cs="Times New Roman" w:hAnsi="Times New Roman" w:eastAsia="Times New Roman" w:ascii="Times New Roman"/>
                <w:i w:val="1"/>
                <w:sz w:val="20"/>
              </w:rPr>
              <w:t xml:space="preserve"> </w:t>
            </w:r>
          </w:p>
          <w:p>
            <w:pPr>
              <w:spacing w:before="0" w:after="0" w:line="259" w:lineRule="auto"/>
              <w:ind w:left="107" w:firstLine="0"/>
              <w:jc w:val="left"/>
            </w:pP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47" w:lineRule="auto"/>
              <w:ind w:left="108" w:firstLine="0"/>
              <w:jc w:val="left"/>
            </w:pPr>
            <w:r>
              <w:rPr>
                <w:sz w:val="16"/>
              </w:rPr>
              <w:t xml:space="preserve">Appui à l‟élaboration et la mise en œuvre de plans de développement des capacités des collectivités</w:t>
            </w:r>
            <w:r>
              <w:rPr>
                <w:sz w:val="16"/>
              </w:rPr>
              <w:t xml:space="preserve"> </w:t>
            </w:r>
          </w:p>
          <w:p>
            <w:pPr>
              <w:spacing w:before="0" w:after="0" w:line="259" w:lineRule="auto"/>
              <w:ind w:left="108" w:firstLine="0"/>
              <w:jc w:val="left"/>
            </w:pP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74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right="53" w:firstLine="0"/>
              <w:jc w:val="left"/>
            </w:pPr>
            <w:r>
              <w:rPr>
                <w:sz w:val="16"/>
              </w:rPr>
              <w:t xml:space="preserve">Formation des structures d‟appui</w:t>
            </w:r>
            <w:r>
              <w:rPr>
                <w:sz w:val="16"/>
              </w:rPr>
              <w:t xml:space="preserve"/>
            </w:r>
            <w:r>
              <w:rPr>
                <w:sz w:val="16"/>
              </w:rPr>
              <w:t xml:space="preserve">Conseil (outils de mainstreaming et méthodologie d‟élaboration des chartes locales)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562"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Adaptation/diffusion des outils d‟analyse de vulnérabilité et de mainstreaming au niveau local</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bl>
    <w:p>
      <w:pPr>
        <w:spacing w:before="0" w:after="0" w:line="259" w:lineRule="auto"/>
        <w:ind w:left="-1440" w:right="12297" w:firstLine="0"/>
        <w:jc w:val="left"/>
      </w:pPr>
    </w:p>
    <w:tbl>
      <w:tblPr>
        <w:tblStyle w:val="TableGrid"/>
        <w:tblW w:w="14037" w:type="dxa"/>
        <w:tblInd w:w="-719" w:type="dxa"/>
        <w:tblCellMar>
          <w:top w:w="6" w:type="dxa"/>
          <w:left w:w="107" w:type="dxa"/>
          <w:bottom w:w="5" w:type="dxa"/>
          <w:right w:w="35" w:type="dxa"/>
        </w:tblCellMar>
      </w:tblPr>
      <w:tblGrid>
        <w:gridCol w:w="2699"/>
        <w:gridCol w:w="2487"/>
        <w:gridCol w:w="610"/>
        <w:gridCol w:w="607"/>
        <w:gridCol w:w="610"/>
        <w:gridCol w:w="610"/>
        <w:gridCol w:w="2256"/>
        <w:gridCol w:w="1385"/>
        <w:gridCol w:w="1388"/>
        <w:gridCol w:w="1386"/>
      </w:tblGrid>
      <w:tr>
        <w:trPr>
          <w:trHeight w:val="562"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13" w:firstLine="0"/>
              <w:jc w:val="right"/>
            </w:pPr>
            <w:r>
              <w:rPr>
                <w:sz w:val="24"/>
              </w:rPr>
              <w:t xml:space="preserve"> </w:t>
            </w:r>
          </w:p>
          <w:p>
            <w:pPr>
              <w:spacing w:before="0" w:after="0" w:line="259" w:lineRule="auto"/>
              <w:ind w:left="0" w:firstLine="0"/>
              <w:jc w:val="left"/>
            </w:pP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6"/>
              </w:rPr>
              <w:t xml:space="preserve">Capitalisation et diffusion des bonnes pratiques de cogestion et de promotion des énergies alternatives</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74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right="23" w:firstLine="0"/>
              <w:jc w:val="left"/>
            </w:pPr>
            <w:r>
              <w:rPr>
                <w:sz w:val="16"/>
              </w:rPr>
              <w:t xml:space="preserve">Appui à l‟intégration de la dimension changements climatiques</w:t>
            </w:r>
            <w:r>
              <w:rPr>
                <w:sz w:val="16"/>
              </w:rPr>
              <w:t xml:space="preserve"> </w:t>
            </w:r>
            <w:r>
              <w:rPr>
                <w:sz w:val="16"/>
              </w:rPr>
              <w:t xml:space="preserve">dans les  plans locaux de développement</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377" w:hRule="atLeast"/>
        </w:trPr>
        <w:tc>
          <w:tcPr>
            <w:tcW w:w="269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6"/>
              </w:rPr>
              <w:t xml:space="preserve">Appui à l‟élaboration de chartes locales</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DGCN</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379"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sz w:val="18"/>
              </w:rPr>
              <w:t xml:space="preserve">Produit 4.du projet</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 </w:t>
            </w:r>
          </w:p>
          <w:p>
            <w:pPr>
              <w:spacing w:before="0" w:after="18" w:line="259" w:lineRule="auto"/>
              <w:ind w:left="0" w:right="35" w:firstLine="0"/>
              <w:jc w:val="center"/>
            </w:pPr>
            <w:r>
              <w:rPr>
                <w:sz w:val="16"/>
              </w:rPr>
              <w:t xml:space="preserve"> </w:t>
            </w:r>
          </w:p>
          <w:p>
            <w:pPr>
              <w:spacing w:before="0" w:after="36" w:line="239" w:lineRule="auto"/>
              <w:ind w:left="0" w:right="107" w:firstLine="0"/>
            </w:pPr>
            <w:r>
              <w:rPr>
                <w:rFonts w:cs="Times New Roman" w:hAnsi="Times New Roman" w:eastAsia="Times New Roman" w:ascii="Times New Roman"/>
                <w:i w:val="1"/>
                <w:sz w:val="20"/>
              </w:rPr>
              <w:t xml:space="preserve">Les CT et les communautés bénéficient des mécanismes de financement appropriés pour mettre en œuvre plans locaux de développement  résilients aux changements climatiques et orientés vers une faible</w:t>
            </w:r>
            <w:r>
              <w:rPr>
                <w:sz w:val="20"/>
              </w:rPr>
              <w:t xml:space="preserve"> </w:t>
            </w:r>
            <w:r>
              <w:rPr>
                <w:rFonts w:cs="Times New Roman" w:hAnsi="Times New Roman" w:eastAsia="Times New Roman" w:ascii="Times New Roman"/>
                <w:i w:val="1"/>
                <w:sz w:val="20"/>
              </w:rPr>
              <w:t xml:space="preserve">émission de GES</w:t>
            </w:r>
            <w:r>
              <w:rPr>
                <w:rFonts w:cs="Times New Roman" w:hAnsi="Times New Roman" w:eastAsia="Times New Roman" w:ascii="Times New Roman"/>
                <w:i w:val="1"/>
                <w:sz w:val="20"/>
              </w:rPr>
              <w:t xml:space="preserve"> </w:t>
            </w:r>
          </w:p>
          <w:p>
            <w:pPr>
              <w:spacing w:before="0" w:after="0" w:line="259" w:lineRule="auto"/>
              <w:ind w:left="0" w:firstLine="0"/>
              <w:jc w:val="left"/>
            </w:pP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right="3" w:firstLine="0"/>
              <w:jc w:val="left"/>
            </w:pPr>
            <w:r>
              <w:rPr>
                <w:sz w:val="16"/>
              </w:rPr>
              <w:t xml:space="preserve">Appui à la mise en place d‟un Fonds National pour le Climat</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w:t>
            </w:r>
            <w:r>
              <w:rPr>
                <w:sz w:val="18"/>
              </w:rPr>
              <w:t xml:space="preserve">/</w:t>
            </w:r>
            <w:r>
              <w:rPr>
                <w:rFonts w:cs="Arial" w:hAnsi="Arial" w:eastAsia="Arial" w:ascii="Arial"/>
                <w:sz w:val="16"/>
              </w:rPr>
              <w:t xml:space="preserve">CONEDD</w:t>
            </w:r>
            <w:r>
              <w:rPr>
                <w:sz w:val="24"/>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104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Appui à l‟adaptation des mécanismes de financement du  développement local aux besoins de réponse aux changements climatiques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92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38" w:lineRule="auto"/>
              <w:ind w:left="1" w:firstLine="0"/>
              <w:jc w:val="left"/>
            </w:pPr>
            <w:r>
              <w:rPr>
                <w:sz w:val="16"/>
              </w:rPr>
              <w:t xml:space="preserve">Renforcement des capacités des acteurs des collectivités à </w:t>
            </w:r>
          </w:p>
          <w:p>
            <w:pPr>
              <w:spacing w:before="0" w:after="0" w:line="259" w:lineRule="auto"/>
              <w:ind w:left="1" w:right="6" w:firstLine="0"/>
              <w:jc w:val="left"/>
            </w:pPr>
            <w:r>
              <w:rPr>
                <w:sz w:val="16"/>
              </w:rPr>
              <w:t xml:space="preserve">mobiliser les ressources financières (fonds adaptation, secteur privé, etc)</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gency FB" w:hAnsi="Agency FB" w:eastAsia="Agency FB" w:ascii="Agency FB"/>
                <w:sz w:val="16"/>
              </w:rPr>
              <w:t xml:space="preserve"> </w:t>
            </w:r>
          </w:p>
        </w:tc>
      </w:tr>
      <w:tr>
        <w:trPr>
          <w:trHeight w:val="74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6"/>
              </w:rPr>
              <w:t xml:space="preserve">Appui à l‟élaboration de projets d‟adaption</w:t>
            </w:r>
            <w:r>
              <w:rPr>
                <w:sz w:val="16"/>
              </w:rPr>
              <w:t xml:space="preserve"> </w:t>
            </w:r>
            <w:r>
              <w:rPr>
                <w:sz w:val="16"/>
              </w:rPr>
              <w:t xml:space="preserve">et/ou d‟atténuation (approche territoriale du Climat, technologies appropriées)</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93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right="20" w:firstLine="0"/>
              <w:jc w:val="left"/>
            </w:pPr>
            <w:r>
              <w:rPr>
                <w:sz w:val="20"/>
              </w:rPr>
              <w:t xml:space="preserve">Appui à la mise en œuvre des plans locaux de développement</w:t>
            </w:r>
            <w:r>
              <w:rPr>
                <w:sz w:val="20"/>
              </w:rPr>
              <w:t xml:space="preserve"> </w:t>
            </w:r>
            <w:r>
              <w:rPr>
                <w:sz w:val="20"/>
              </w:rPr>
              <w:t xml:space="preserve">et des projets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115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1" w:line="238" w:lineRule="auto"/>
              <w:ind w:left="1" w:firstLine="0"/>
              <w:jc w:val="left"/>
            </w:pPr>
            <w:r>
              <w:rPr>
                <w:sz w:val="20"/>
              </w:rPr>
              <w:t xml:space="preserve">Appui aux initiatives communautaires par le programme FEM/ONG </w:t>
            </w:r>
          </w:p>
          <w:p>
            <w:pPr>
              <w:spacing w:before="0" w:after="0" w:line="259" w:lineRule="auto"/>
              <w:ind w:left="1" w:firstLine="0"/>
              <w:jc w:val="left"/>
            </w:pPr>
            <w:r>
              <w:rPr>
                <w:sz w:val="20"/>
              </w:rPr>
              <w:t xml:space="preserve">(initiative Grand‟mère Solaire)</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FEM/ONG</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70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Appui aux initiatives de promotion de l‟énergie alternative (PTFM vertes)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PN/PTFM</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rFonts w:cs="Agency FB" w:hAnsi="Agency FB" w:eastAsia="Agency FB" w:ascii="Agency FB"/>
                <w:sz w:val="16"/>
              </w:rPr>
              <w:t xml:space="preserve"> </w:t>
            </w:r>
          </w:p>
        </w:tc>
      </w:tr>
      <w:tr>
        <w:trPr>
          <w:trHeight w:val="286"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La gestion du projet est axée sur les résultats de développement</w:t>
            </w:r>
            <w:r>
              <w:rPr>
                <w:sz w:val="18"/>
              </w:rPr>
              <w:t xml:space="preserve"> </w:t>
            </w:r>
            <w:r>
              <w:rPr>
                <w:sz w:val="18"/>
              </w:rPr>
              <w:t xml:space="preserve">et efficace</w:t>
            </w: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Personnel </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b w:val="1"/>
                <w:sz w:val="16"/>
              </w:rPr>
              <w:t xml:space="preserve">           </w:t>
            </w:r>
            <w:r>
              <w:rPr>
                <w:rFonts w:cs="Calibri" w:hAnsi="Calibri" w:eastAsia="Calibri" w:ascii="Calibri"/>
                <w:b w:val="1"/>
                <w:sz w:val="16"/>
              </w:rPr>
              <w:t xml:space="preserve">14 000</w:t>
            </w:r>
            <w:r>
              <w:rPr>
                <w:rFonts w:cs="Calibri" w:hAnsi="Calibri" w:eastAsia="Calibri" w:ascii="Calibri"/>
                <w:b w:val="1"/>
                <w:sz w:val="16"/>
              </w:rPr>
              <w:t xml:space="preserve">   </w:t>
            </w:r>
          </w:p>
        </w:tc>
      </w:tr>
      <w:tr>
        <w:trPr>
          <w:trHeight w:val="28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Equipements </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b w:val="1"/>
                <w:sz w:val="16"/>
              </w:rPr>
              <w:t xml:space="preserve">             </w:t>
            </w:r>
            <w:r>
              <w:rPr>
                <w:rFonts w:cs="Calibri" w:hAnsi="Calibri" w:eastAsia="Calibri" w:ascii="Calibri"/>
                <w:b w:val="1"/>
                <w:sz w:val="16"/>
              </w:rPr>
              <w:t xml:space="preserve">97 500</w:t>
            </w:r>
            <w:r>
              <w:rPr>
                <w:rFonts w:cs="Calibri" w:hAnsi="Calibri" w:eastAsia="Calibri" w:ascii="Calibri"/>
                <w:b w:val="1"/>
                <w:sz w:val="16"/>
              </w:rPr>
              <w:t xml:space="preserve"> </w:t>
            </w:r>
          </w:p>
        </w:tc>
      </w:tr>
      <w:tr>
        <w:trPr>
          <w:trHeight w:val="28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Fonctionnement</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Coordonnateur</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b w:val="1"/>
                <w:sz w:val="16"/>
              </w:rPr>
              <w:t xml:space="preserve">            </w:t>
            </w:r>
            <w:r>
              <w:rPr>
                <w:rFonts w:cs="Calibri" w:hAnsi="Calibri" w:eastAsia="Calibri" w:ascii="Calibri"/>
                <w:b w:val="1"/>
                <w:sz w:val="16"/>
              </w:rPr>
              <w:t xml:space="preserve">20 000</w:t>
            </w:r>
            <w:r>
              <w:rPr>
                <w:rFonts w:cs="Calibri" w:hAnsi="Calibri" w:eastAsia="Calibri" w:ascii="Calibri"/>
                <w:b w:val="1"/>
                <w:sz w:val="16"/>
              </w:rPr>
              <w:t xml:space="preserve"> </w:t>
            </w:r>
          </w:p>
        </w:tc>
      </w:tr>
      <w:tr>
        <w:trPr>
          <w:trHeight w:val="28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Audit Evaluation</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rFonts w:cs="Arial" w:hAnsi="Arial" w:eastAsia="Arial" w:ascii="Arial"/>
                <w:sz w:val="16"/>
              </w:rPr>
              <w:t xml:space="preserve">Coordonnateur</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b w:val="1"/>
                <w:sz w:val="16"/>
              </w:rPr>
              <w:t xml:space="preserve">                         </w:t>
            </w:r>
          </w:p>
        </w:tc>
      </w:tr>
      <w:tr>
        <w:trPr>
          <w:trHeight w:val="284" w:hRule="atLeast"/>
        </w:trPr>
        <w:tc>
          <w:tcPr>
            <w:tcW w:w="2699"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0" w:firstLine="0"/>
              <w:jc w:val="left"/>
            </w:pPr>
            <w:r>
              <w:rPr>
                <w:sz w:val="24"/>
              </w:rPr>
              <w:t xml:space="preserve">TOTAL</w:t>
            </w:r>
            <w:r>
              <w:rPr>
                <w:sz w:val="24"/>
              </w:rPr>
              <w:t xml:space="preserve"> </w:t>
            </w:r>
          </w:p>
        </w:tc>
        <w:tc>
          <w:tcPr>
            <w:tcW w:w="8564" w:type="dxa"/>
            <w:gridSpan w:val="7"/>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shd w:val="clear" w:fill="cccccc"/>
            <w:vAlign w:val="bottom"/>
          </w:tcPr>
          <w:p>
            <w:pPr>
              <w:spacing w:before="0" w:after="0" w:line="259" w:lineRule="auto"/>
              <w:ind w:left="1" w:firstLine="0"/>
              <w:jc w:val="left"/>
            </w:pPr>
            <w:r>
              <w:rPr>
                <w:rFonts w:cs="Calibri" w:hAnsi="Calibri" w:eastAsia="Calibri" w:ascii="Calibri"/>
                <w:b w:val="1"/>
                <w:sz w:val="16"/>
              </w:rPr>
              <w:t xml:space="preserve">          </w:t>
            </w:r>
            <w:r>
              <w:rPr>
                <w:rFonts w:cs="Calibri" w:hAnsi="Calibri" w:eastAsia="Calibri" w:ascii="Calibri"/>
                <w:b w:val="1"/>
                <w:sz w:val="16"/>
              </w:rPr>
              <w:t xml:space="preserve">131 500</w:t>
            </w:r>
            <w:r>
              <w:rPr>
                <w:rFonts w:cs="Calibri" w:hAnsi="Calibri" w:eastAsia="Calibri" w:ascii="Calibri"/>
                <w:b w:val="1"/>
                <w:sz w:val="16"/>
              </w:rPr>
              <w:t xml:space="preserve">   </w:t>
            </w:r>
          </w:p>
        </w:tc>
      </w:tr>
    </w:tbl>
    <w:p>
      <w:pPr>
        <w:spacing w:before="0" w:after="176" w:line="259" w:lineRule="auto"/>
        <w:ind w:left="0" w:right="3" w:firstLine="0"/>
        <w:jc w:val="right"/>
      </w:pPr>
      <w:r>
        <w:rPr>
          <w:rFonts w:cs="Cambria" w:hAnsi="Cambria" w:eastAsia="Cambria" w:ascii="Cambria"/>
          <w:sz w:val="24"/>
        </w:rPr>
        <w:t xml:space="preserve"> </w:t>
      </w:r>
    </w:p>
    <w:p>
      <w:pPr>
        <w:spacing w:before="0" w:after="0" w:line="259" w:lineRule="auto"/>
        <w:ind w:left="720" w:firstLine="0"/>
        <w:jc w:val="left"/>
      </w:pPr>
      <w:r>
        <w:rPr>
          <w:rFonts w:cs="Cambria" w:hAnsi="Cambria" w:eastAsia="Cambria" w:ascii="Cambria"/>
          <w:sz w:val="24"/>
          <w:u w:val="single" w:color="000000"/>
        </w:rPr>
        <w:t xml:space="preserve">Plan de travail </w:t>
      </w:r>
      <w:r>
        <w:rPr>
          <w:rFonts w:cs="Cambria" w:hAnsi="Cambria" w:eastAsia="Cambria" w:ascii="Cambria"/>
          <w:sz w:val="24"/>
          <w:u w:val="single" w:color="000000"/>
        </w:rPr>
        <w:t xml:space="preserve"> </w:t>
      </w:r>
      <w:r>
        <w:rPr>
          <w:rFonts w:cs="Cambria" w:hAnsi="Cambria" w:eastAsia="Cambria" w:ascii="Cambria"/>
          <w:sz w:val="24"/>
          <w:u w:val="single" w:color="000000"/>
        </w:rPr>
        <w:t xml:space="preserve">2012</w:t>
      </w:r>
      <w:r>
        <w:rPr>
          <w:rFonts w:cs="Cambria" w:hAnsi="Cambria" w:eastAsia="Cambria" w:ascii="Cambria"/>
          <w:sz w:val="24"/>
        </w:rPr>
        <w:t xml:space="preserve">     </w:t>
      </w:r>
      <w:r>
        <w:rPr>
          <w:rFonts w:cs="Cambria" w:hAnsi="Cambria" w:eastAsia="Cambria" w:ascii="Cambria"/>
          <w:b w:val="1"/>
          <w:sz w:val="24"/>
        </w:rPr>
        <w:t xml:space="preserve"> </w:t>
      </w:r>
    </w:p>
    <w:p>
      <w:pPr>
        <w:spacing w:before="0" w:after="0" w:line="259" w:lineRule="auto"/>
        <w:ind w:left="0" w:firstLine="0"/>
        <w:jc w:val="left"/>
      </w:pPr>
      <w:r>
        <w:rPr>
          <w:sz w:val="24"/>
        </w:rPr>
        <w:t xml:space="preserve"> </w:t>
      </w:r>
    </w:p>
    <w:tbl>
      <w:tblPr>
        <w:tblStyle w:val="TableGrid"/>
        <w:tblW w:w="14037" w:type="dxa"/>
        <w:tblInd w:w="-719" w:type="dxa"/>
        <w:tblCellMar>
          <w:top w:w="6" w:type="dxa"/>
          <w:left w:w="0" w:type="dxa"/>
          <w:bottom w:w="0" w:type="dxa"/>
          <w:right w:w="51" w:type="dxa"/>
        </w:tblCellMar>
      </w:tblPr>
      <w:tblGrid>
        <w:gridCol w:w="2699"/>
        <w:gridCol w:w="2487"/>
        <w:gridCol w:w="610"/>
        <w:gridCol w:w="607"/>
        <w:gridCol w:w="610"/>
        <w:gridCol w:w="610"/>
        <w:gridCol w:w="2256"/>
        <w:gridCol w:w="1385"/>
        <w:gridCol w:w="1388"/>
        <w:gridCol w:w="1386"/>
      </w:tblGrid>
      <w:tr>
        <w:trPr>
          <w:trHeight w:val="422" w:hRule="atLeast"/>
        </w:trPr>
        <w:tc>
          <w:tcPr>
            <w:tcW w:w="2699" w:type="dxa"/>
            <w:vMerge w:val="restart"/>
            <w:tcBorders>
              <w:top w:val="single" w:sz="4" w:color="000000"/>
              <w:left w:val="single" w:sz="4" w:color="000000"/>
              <w:bottom w:val="single" w:sz="4" w:color="000000"/>
              <w:right w:val="single" w:sz="4" w:color="000000"/>
            </w:tcBorders>
            <w:shd w:val="clear" w:fill="cccccc"/>
            <w:vAlign w:val="top"/>
          </w:tcPr>
          <w:p>
            <w:pPr>
              <w:spacing w:before="0" w:after="221" w:line="240" w:lineRule="auto"/>
              <w:ind w:left="100" w:right="5" w:firstLine="0"/>
              <w:jc w:val="center"/>
            </w:pPr>
            <w:r>
              <w:rPr>
                <w:rFonts w:cs="Times New Roman" w:hAnsi="Times New Roman" w:eastAsia="Times New Roman" w:ascii="Times New Roman"/>
                <w:b w:val="1"/>
                <w:sz w:val="18"/>
              </w:rPr>
              <w:t xml:space="preserve">PRODUITS DU CP ATTENDUS</w:t>
            </w:r>
            <w:r>
              <w:rPr>
                <w:rFonts w:cs="Times New Roman" w:hAnsi="Times New Roman" w:eastAsia="Times New Roman" w:ascii="Times New Roman"/>
                <w:b w:val="1"/>
                <w:sz w:val="18"/>
              </w:rPr>
              <w:t xml:space="preserve"> </w:t>
            </w:r>
          </w:p>
          <w:p>
            <w:pPr>
              <w:spacing w:before="0" w:after="0" w:line="259" w:lineRule="auto"/>
              <w:ind w:left="107" w:firstLine="0"/>
            </w:pPr>
            <w:r>
              <w:rPr>
                <w:rFonts w:cs="Cambria" w:hAnsi="Cambria" w:eastAsia="Cambria" w:ascii="Cambria"/>
                <w:b w:val="1"/>
                <w:sz w:val="20"/>
              </w:rPr>
              <w:t xml:space="preserve">et indicateurs, y compris les objectifs annuels</w:t>
            </w:r>
            <w:r>
              <w:rPr>
                <w:rFonts w:cs="Cambria" w:hAnsi="Cambria" w:eastAsia="Cambria" w:ascii="Cambria"/>
                <w:b w:val="1"/>
                <w:sz w:val="20"/>
              </w:rPr>
              <w:t xml:space="preserve"> </w:t>
            </w:r>
          </w:p>
        </w:tc>
        <w:tc>
          <w:tcPr>
            <w:tcW w:w="2487" w:type="dxa"/>
            <w:vMerge w:val="restart"/>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85" w:firstLine="0"/>
              <w:jc w:val="left"/>
            </w:pPr>
            <w:r>
              <w:rPr>
                <w:rFonts w:cs="Times New Roman" w:hAnsi="Times New Roman" w:eastAsia="Times New Roman" w:ascii="Times New Roman"/>
                <w:b w:val="1"/>
                <w:sz w:val="18"/>
              </w:rPr>
              <w:t xml:space="preserve">ACTIVITÉS PLANIFIÉES</w:t>
            </w:r>
            <w:r>
              <w:rPr>
                <w:rFonts w:cs="Times New Roman" w:hAnsi="Times New Roman" w:eastAsia="Times New Roman" w:ascii="Times New Roman"/>
                <w:b w:val="1"/>
                <w:sz w:val="18"/>
              </w:rPr>
              <w:t xml:space="preserve"> </w:t>
            </w:r>
          </w:p>
          <w:p>
            <w:pPr>
              <w:spacing w:before="0" w:after="0" w:line="259" w:lineRule="auto"/>
              <w:ind w:left="108" w:firstLine="0"/>
              <w:jc w:val="left"/>
            </w:pPr>
            <w:r>
              <w:rPr>
                <w:rFonts w:cs="Times New Roman" w:hAnsi="Times New Roman" w:eastAsia="Times New Roman" w:ascii="Times New Roman"/>
                <w:i w:val="1"/>
                <w:sz w:val="16"/>
              </w:rPr>
              <w:t xml:space="preserve"> </w:t>
            </w:r>
          </w:p>
        </w:tc>
        <w:tc>
          <w:tcPr>
            <w:tcW w:w="2436" w:type="dxa"/>
            <w:gridSpan w:val="4"/>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64" w:firstLine="0"/>
              <w:jc w:val="center"/>
            </w:pPr>
            <w:r>
              <w:rPr>
                <w:rFonts w:cs="Times New Roman" w:hAnsi="Times New Roman" w:eastAsia="Times New Roman" w:ascii="Times New Roman"/>
                <w:b w:val="1"/>
                <w:sz w:val="18"/>
              </w:rPr>
              <w:t xml:space="preserve">CADRE CHRONOLOGIQUE</w:t>
            </w:r>
            <w:r>
              <w:rPr>
                <w:rFonts w:cs="Times New Roman" w:hAnsi="Times New Roman" w:eastAsia="Times New Roman" w:ascii="Times New Roman"/>
                <w:b w:val="1"/>
                <w:sz w:val="18"/>
              </w:rPr>
              <w:t xml:space="preserve"> </w:t>
            </w:r>
          </w:p>
        </w:tc>
        <w:tc>
          <w:tcPr>
            <w:tcW w:w="2256" w:type="dxa"/>
            <w:vMerge w:val="restart"/>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26" w:right="32" w:firstLine="0"/>
              <w:jc w:val="center"/>
            </w:pPr>
            <w:r>
              <w:rPr>
                <w:rFonts w:cs="Times New Roman" w:hAnsi="Times New Roman" w:eastAsia="Times New Roman" w:ascii="Times New Roman"/>
                <w:b w:val="1"/>
                <w:sz w:val="18"/>
              </w:rPr>
              <w:t xml:space="preserve">PARTIE RESPONSABLE</w:t>
            </w:r>
            <w:r>
              <w:rPr>
                <w:rFonts w:cs="Times New Roman" w:hAnsi="Times New Roman" w:eastAsia="Times New Roman" w:ascii="Times New Roman"/>
                <w:b w:val="1"/>
                <w:sz w:val="18"/>
              </w:rPr>
              <w:t xml:space="preserve"> </w:t>
            </w:r>
          </w:p>
        </w:tc>
        <w:tc>
          <w:tcPr>
            <w:tcW w:w="2773" w:type="dxa"/>
            <w:gridSpan w:val="2"/>
            <w:tcBorders>
              <w:top w:val="single" w:sz="4" w:color="000000"/>
              <w:left w:val="single" w:sz="4" w:color="000000"/>
              <w:bottom w:val="single" w:sz="4" w:color="000000"/>
              <w:right w:val="nil"/>
            </w:tcBorders>
            <w:shd w:val="clear" w:fill="cccccc"/>
            <w:vAlign w:val="top"/>
          </w:tcPr>
          <w:p>
            <w:pPr>
              <w:spacing w:before="0" w:after="0" w:line="259" w:lineRule="auto"/>
              <w:ind w:left="0" w:firstLine="0"/>
              <w:jc w:val="right"/>
            </w:pPr>
            <w:r>
              <w:rPr>
                <w:rFonts w:cs="Times New Roman" w:hAnsi="Times New Roman" w:eastAsia="Times New Roman" w:ascii="Times New Roman"/>
                <w:b w:val="1"/>
                <w:sz w:val="18"/>
              </w:rPr>
              <w:t xml:space="preserve">BUDGET PLANIF</w:t>
            </w:r>
          </w:p>
          <w:p>
            <w:pPr>
              <w:spacing w:before="0" w:after="0" w:line="259" w:lineRule="auto"/>
              <w:ind w:left="108" w:firstLine="0"/>
              <w:jc w:val="left"/>
            </w:pPr>
            <w:r>
              <w:rPr>
                <w:rFonts w:cs="Times New Roman" w:hAnsi="Times New Roman" w:eastAsia="Times New Roman" w:ascii="Times New Roman"/>
                <w:i w:val="1"/>
                <w:sz w:val="16"/>
              </w:rPr>
              <w:t xml:space="preserve"> </w:t>
            </w:r>
          </w:p>
        </w:tc>
        <w:tc>
          <w:tcPr>
            <w:tcW w:w="1386" w:type="dxa"/>
            <w:tcBorders>
              <w:top w:val="single" w:sz="4" w:color="000000"/>
              <w:left w:val="nil"/>
              <w:bottom w:val="single" w:sz="4" w:color="000000"/>
              <w:right w:val="single" w:sz="4" w:color="000000"/>
            </w:tcBorders>
            <w:shd w:val="clear" w:fill="cccccc"/>
            <w:vAlign w:val="top"/>
          </w:tcPr>
          <w:p>
            <w:pPr>
              <w:spacing w:before="0" w:after="0" w:line="259" w:lineRule="auto"/>
              <w:ind w:left="-51" w:firstLine="0"/>
              <w:jc w:val="left"/>
            </w:pPr>
            <w:r>
              <w:rPr>
                <w:rFonts w:cs="Times New Roman" w:hAnsi="Times New Roman" w:eastAsia="Times New Roman" w:ascii="Times New Roman"/>
                <w:b w:val="1"/>
                <w:sz w:val="18"/>
              </w:rPr>
              <w:t xml:space="preserve">IÉ</w:t>
            </w:r>
            <w:r>
              <w:rPr>
                <w:rFonts w:cs="Times New Roman" w:hAnsi="Times New Roman" w:eastAsia="Times New Roman" w:ascii="Times New Roman"/>
                <w:b w:val="1"/>
                <w:sz w:val="18"/>
              </w:rPr>
              <w:t xml:space="preserve"> </w:t>
            </w:r>
          </w:p>
        </w:tc>
      </w:tr>
      <w:tr>
        <w:trPr>
          <w:trHeight w:val="77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1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46" w:firstLine="0"/>
              <w:jc w:val="center"/>
            </w:pPr>
            <w:r>
              <w:rPr>
                <w:sz w:val="16"/>
              </w:rPr>
              <w:t xml:space="preserve">1erT</w:t>
            </w:r>
            <w:r>
              <w:rPr>
                <w:sz w:val="16"/>
              </w:rPr>
              <w:t xml:space="preserve"> </w:t>
            </w:r>
          </w:p>
        </w:tc>
        <w:tc>
          <w:tcPr>
            <w:tcW w:w="607"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3" w:firstLine="0"/>
              <w:jc w:val="center"/>
            </w:pPr>
            <w:r>
              <w:rPr>
                <w:sz w:val="16"/>
              </w:rPr>
              <w:t xml:space="preserve">2eT</w:t>
            </w:r>
            <w:r>
              <w:rPr>
                <w:sz w:val="16"/>
              </w:rPr>
              <w:t xml:space="preserve"> </w:t>
            </w:r>
          </w:p>
        </w:tc>
        <w:tc>
          <w:tcPr>
            <w:tcW w:w="61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1" w:firstLine="0"/>
              <w:jc w:val="center"/>
            </w:pPr>
            <w:r>
              <w:rPr>
                <w:sz w:val="16"/>
              </w:rPr>
              <w:t xml:space="preserve">3eT</w:t>
            </w:r>
            <w:r>
              <w:rPr>
                <w:sz w:val="16"/>
              </w:rPr>
              <w:t xml:space="preserve"> </w:t>
            </w:r>
          </w:p>
        </w:tc>
        <w:tc>
          <w:tcPr>
            <w:tcW w:w="61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1" w:firstLine="0"/>
              <w:jc w:val="center"/>
            </w:pPr>
            <w:r>
              <w:rPr>
                <w:sz w:val="16"/>
              </w:rPr>
              <w:t xml:space="preserve">4eT</w:t>
            </w:r>
            <w:r>
              <w:rPr>
                <w:sz w:val="16"/>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85"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5" w:firstLine="0"/>
              <w:jc w:val="center"/>
            </w:pPr>
            <w:r>
              <w:rPr>
                <w:sz w:val="16"/>
              </w:rPr>
              <w:t xml:space="preserve">Source des fonds</w:t>
            </w:r>
            <w:r>
              <w:rPr>
                <w:sz w:val="16"/>
              </w:rPr>
              <w:t xml:space="preserve"> </w:t>
            </w:r>
          </w:p>
        </w:tc>
        <w:tc>
          <w:tcPr>
            <w:tcW w:w="1388"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94" w:right="6" w:firstLine="0"/>
              <w:jc w:val="center"/>
            </w:pPr>
            <w:r>
              <w:rPr>
                <w:sz w:val="16"/>
              </w:rPr>
              <w:t xml:space="preserve">Description dans le budget</w:t>
            </w:r>
            <w:r>
              <w:rPr>
                <w:sz w:val="16"/>
              </w:rPr>
              <w:t xml:space="preserve"> </w:t>
            </w:r>
          </w:p>
        </w:tc>
        <w:tc>
          <w:tcPr>
            <w:tcW w:w="1386"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54" w:firstLine="0"/>
              <w:jc w:val="center"/>
            </w:pPr>
            <w:r>
              <w:rPr>
                <w:sz w:val="16"/>
              </w:rPr>
              <w:t xml:space="preserve">Montant</w:t>
            </w:r>
            <w:r>
              <w:rPr>
                <w:sz w:val="16"/>
              </w:rPr>
              <w:t xml:space="preserve"> </w:t>
            </w:r>
          </w:p>
        </w:tc>
      </w:tr>
      <w:tr>
        <w:trPr>
          <w:trHeight w:val="563"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07" w:firstLine="0"/>
              <w:jc w:val="left"/>
            </w:pPr>
            <w:r>
              <w:rPr>
                <w:rFonts w:cs="Times New Roman" w:hAnsi="Times New Roman" w:eastAsia="Times New Roman" w:ascii="Times New Roman"/>
                <w:b w:val="1"/>
                <w:sz w:val="18"/>
              </w:rPr>
              <w:t xml:space="preserve">Produit 1. du projet</w:t>
            </w:r>
            <w:r>
              <w:rPr>
                <w:rFonts w:cs="Times New Roman" w:hAnsi="Times New Roman" w:eastAsia="Times New Roman" w:ascii="Times New Roman"/>
                <w:b w:val="1"/>
                <w:sz w:val="18"/>
              </w:rPr>
              <w:t xml:space="preserve">:</w:t>
            </w:r>
            <w:r>
              <w:rPr>
                <w:sz w:val="18"/>
              </w:rPr>
              <w:t xml:space="preserve"> </w:t>
            </w:r>
          </w:p>
          <w:p>
            <w:pPr>
              <w:spacing w:before="0" w:after="0" w:line="259" w:lineRule="auto"/>
              <w:ind w:left="107" w:right="26" w:firstLine="0"/>
              <w:jc w:val="left"/>
            </w:pPr>
            <w:r>
              <w:rPr>
                <w:rFonts w:cs="Times New Roman" w:hAnsi="Times New Roman" w:eastAsia="Times New Roman" w:ascii="Times New Roman"/>
                <w:i w:val="1"/>
                <w:sz w:val="20"/>
              </w:rPr>
              <w:t xml:space="preserve">Les structures centrales sont outillées pour assurer la prise en compte des principes du DD dans la mise en œuvre de la SCADD et des plans locaux de développement</w:t>
            </w: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2" w:line="235" w:lineRule="auto"/>
              <w:ind w:left="108" w:firstLine="0"/>
            </w:pPr>
            <w:r>
              <w:rPr>
                <w:sz w:val="16"/>
              </w:rPr>
              <w:t xml:space="preserve">Renforcement des capacités de suivi de la SCADD par  les structures du </w:t>
            </w:r>
          </w:p>
          <w:p>
            <w:pPr>
              <w:spacing w:before="0" w:after="0" w:line="259" w:lineRule="auto"/>
              <w:ind w:left="108" w:firstLine="0"/>
              <w:jc w:val="left"/>
            </w:pPr>
            <w:r>
              <w:rPr>
                <w:sz w:val="16"/>
              </w:rPr>
              <w:t xml:space="preserve">MEDD</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 </w:t>
            </w:r>
          </w:p>
          <w:p>
            <w:pPr>
              <w:spacing w:before="0" w:after="0" w:line="259" w:lineRule="auto"/>
              <w:ind w:left="108" w:firstLine="0"/>
              <w:jc w:val="left"/>
            </w:pPr>
            <w:r>
              <w:rPr>
                <w:rFonts w:cs="Arial" w:hAnsi="Arial" w:eastAsia="Arial" w:ascii="Arial"/>
                <w:sz w:val="16"/>
              </w:rPr>
              <w:t xml:space="preserve">DEP/MEDD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3" w:firstLine="0"/>
              <w:jc w:val="center"/>
            </w:pPr>
            <w:r>
              <w:rPr>
                <w:rFonts w:cs="Agency FB" w:hAnsi="Agency FB" w:eastAsia="Agency FB" w:ascii="Agency FB"/>
                <w:sz w:val="16"/>
              </w:rPr>
              <w:t xml:space="preserve">40000</w:t>
            </w:r>
            <w:r>
              <w:rPr>
                <w:rFonts w:cs="Agency FB" w:hAnsi="Agency FB" w:eastAsia="Agency FB" w:ascii="Agency FB"/>
                <w:sz w:val="16"/>
              </w:rPr>
              <w:t xml:space="preserve"> </w:t>
            </w:r>
          </w:p>
        </w:tc>
      </w:tr>
      <w:tr>
        <w:trPr>
          <w:trHeight w:val="28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œuvre du PNSR</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5"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r>
      <w:tr>
        <w:trPr>
          <w:trHeight w:val="377"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au transfert de compétences de gestion des RN aux CT</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3"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r>
        <w:trPr>
          <w:trHeight w:val="42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Appui à la préparation de </w:t>
            </w:r>
          </w:p>
          <w:p>
            <w:pPr>
              <w:spacing w:before="0" w:after="0" w:line="259" w:lineRule="auto"/>
              <w:ind w:left="108" w:firstLine="0"/>
              <w:jc w:val="left"/>
            </w:pPr>
            <w:r>
              <w:rPr>
                <w:sz w:val="18"/>
              </w:rPr>
              <w:t xml:space="preserve">RIO+20</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1" w:firstLine="0"/>
              <w:jc w:val="center"/>
            </w:pPr>
            <w:r>
              <w:rPr>
                <w:rFonts w:cs="Agency FB" w:hAnsi="Agency FB" w:eastAsia="Agency FB" w:ascii="Agency FB"/>
                <w:sz w:val="16"/>
              </w:rPr>
              <w:t xml:space="preserve">PM</w:t>
            </w:r>
            <w:r>
              <w:rPr>
                <w:rFonts w:cs="Agency FB" w:hAnsi="Agency FB" w:eastAsia="Agency FB" w:ascii="Agency FB"/>
                <w:sz w:val="16"/>
              </w:rPr>
              <w:t xml:space="preserve"> </w:t>
            </w:r>
          </w:p>
        </w:tc>
      </w:tr>
      <w:tr>
        <w:trPr>
          <w:trHeight w:val="63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Appui à la concertation entre institutions d‟appui (+fonds d‟études)</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PNUD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5" w:firstLine="0"/>
              <w:jc w:val="center"/>
            </w:pPr>
            <w:r>
              <w:rPr>
                <w:rFonts w:cs="Agency FB" w:hAnsi="Agency FB" w:eastAsia="Agency FB" w:ascii="Agency FB"/>
                <w:sz w:val="16"/>
              </w:rPr>
              <w:t xml:space="preserve">60000</w:t>
            </w:r>
            <w:r>
              <w:rPr>
                <w:rFonts w:cs="Agency FB" w:hAnsi="Agency FB" w:eastAsia="Agency FB" w:ascii="Agency FB"/>
                <w:sz w:val="16"/>
              </w:rPr>
              <w:t xml:space="preserve"> </w:t>
            </w:r>
          </w:p>
        </w:tc>
      </w:tr>
      <w:tr>
        <w:trPr>
          <w:trHeight w:val="562" w:hRule="atLeast"/>
        </w:trPr>
        <w:tc>
          <w:tcPr>
            <w:tcW w:w="269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07" w:firstLine="0"/>
              <w:jc w:val="left"/>
            </w:pPr>
            <w:r>
              <w:rPr>
                <w:rFonts w:cs="Times New Roman" w:hAnsi="Times New Roman" w:eastAsia="Times New Roman" w:ascii="Times New Roman"/>
                <w:b w:val="1"/>
                <w:sz w:val="18"/>
              </w:rPr>
              <w:t xml:space="preserve"> </w:t>
            </w:r>
          </w:p>
          <w:p>
            <w:pPr>
              <w:spacing w:before="0" w:after="0" w:line="259" w:lineRule="auto"/>
              <w:ind w:left="107" w:firstLine="0"/>
              <w:jc w:val="left"/>
            </w:pPr>
            <w:r>
              <w:rPr>
                <w:rFonts w:cs="Times New Roman" w:hAnsi="Times New Roman" w:eastAsia="Times New Roman" w:ascii="Times New Roman"/>
                <w:b w:val="1"/>
                <w:sz w:val="18"/>
              </w:rPr>
              <w:t xml:space="preserve">Produit 2. du projet</w:t>
            </w:r>
            <w:r>
              <w:rPr>
                <w:rFonts w:cs="Times New Roman" w:hAnsi="Times New Roman" w:eastAsia="Times New Roman" w:ascii="Times New Roman"/>
                <w:b w:val="1"/>
                <w:sz w:val="18"/>
              </w:rPr>
              <w:t xml:space="preserve">:</w:t>
            </w:r>
            <w:r>
              <w:rPr>
                <w:sz w:val="18"/>
              </w:rPr>
              <w:t xml:space="preserve"> </w:t>
            </w:r>
          </w:p>
          <w:p>
            <w:pPr>
              <w:spacing w:before="0" w:after="0" w:line="259" w:lineRule="auto"/>
              <w:ind w:left="107" w:right="57" w:firstLine="0"/>
              <w:jc w:val="left"/>
            </w:pPr>
            <w:r>
              <w:rPr>
                <w:rFonts w:cs="Times New Roman" w:hAnsi="Times New Roman" w:eastAsia="Times New Roman" w:ascii="Times New Roman"/>
                <w:i w:val="1"/>
                <w:sz w:val="20"/>
              </w:rPr>
              <w:t xml:space="preserve">Les informations pertinentes sur l’état de l’environnement sont disponibles et permettent d’assurer le suivi de la mise en œuvre des politiques environnementales au niveau décentralisé</w:t>
            </w: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place et fonctionnement de l‟observatoire national</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 </w:t>
            </w:r>
          </w:p>
          <w:p>
            <w:pPr>
              <w:spacing w:before="0" w:after="0" w:line="259" w:lineRule="auto"/>
              <w:ind w:left="108" w:firstLine="0"/>
              <w:jc w:val="left"/>
            </w:pPr>
            <w:r>
              <w:rPr>
                <w:rFonts w:cs="Arial" w:hAnsi="Arial" w:eastAsia="Arial" w:ascii="Arial"/>
                <w:sz w:val="16"/>
              </w:rPr>
              <w:t xml:space="preserve">DEP/MEDD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5"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r>
      <w:tr>
        <w:trPr>
          <w:trHeight w:val="56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place des bases </w:t>
            </w:r>
          </w:p>
          <w:p>
            <w:pPr>
              <w:spacing w:before="0" w:after="0" w:line="259" w:lineRule="auto"/>
              <w:ind w:left="108" w:firstLine="0"/>
              <w:jc w:val="left"/>
            </w:pPr>
            <w:r>
              <w:rPr>
                <w:sz w:val="16"/>
              </w:rPr>
              <w:t xml:space="preserve">de données environnementales (DEP, DES/DGCN)</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3"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r>
        <w:trPr>
          <w:trHeight w:val="37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right="33" w:firstLine="0"/>
              <w:jc w:val="left"/>
            </w:pPr>
            <w:r>
              <w:rPr>
                <w:sz w:val="16"/>
              </w:rPr>
              <w:t xml:space="preserve">Appui à l‟élaboration périodique du REEB</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5" w:firstLine="0"/>
              <w:jc w:val="center"/>
            </w:pPr>
            <w:r>
              <w:rPr>
                <w:rFonts w:cs="Agency FB" w:hAnsi="Agency FB" w:eastAsia="Agency FB" w:ascii="Agency FB"/>
                <w:sz w:val="16"/>
              </w:rPr>
              <w:t xml:space="preserve">25000</w:t>
            </w:r>
            <w:r>
              <w:rPr>
                <w:rFonts w:cs="Agency FB" w:hAnsi="Agency FB" w:eastAsia="Agency FB" w:ascii="Agency FB"/>
                <w:sz w:val="16"/>
              </w:rPr>
              <w:t xml:space="preserve"> </w:t>
            </w:r>
          </w:p>
        </w:tc>
      </w:tr>
      <w:tr>
        <w:trPr>
          <w:trHeight w:val="377"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Elaboration des Communications Nationales  DB et CC</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PNUD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rFonts w:cs="Agency FB" w:hAnsi="Agency FB" w:eastAsia="Agency FB" w:ascii="Agency FB"/>
                <w:sz w:val="16"/>
              </w:rPr>
              <w:t xml:space="preserve"> </w:t>
            </w:r>
          </w:p>
        </w:tc>
      </w:tr>
      <w:tr>
        <w:trPr>
          <w:trHeight w:val="37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6"/>
              </w:rPr>
              <w:t xml:space="preserve">Appui à la mise en place de systèmes d‟alerte précoces</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right="54" w:firstLine="0"/>
              <w:jc w:val="right"/>
            </w:pPr>
            <w:r>
              <w:rPr>
                <w:sz w:val="18"/>
              </w:rPr>
              <w:t xml:space="preserve">PNUD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3"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r>
        <w:trPr>
          <w:trHeight w:val="422"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18"/>
              </w:rPr>
              <w:t xml:space="preserve">Evaluation rétrospectives </w:t>
            </w:r>
            <w:r>
              <w:rPr>
                <w:sz w:val="16"/>
              </w:rPr>
              <w:t xml:space="preserve">environnementales</w:t>
            </w:r>
            <w:r>
              <w:rPr>
                <w:sz w:val="18"/>
              </w:rPr>
              <w:t xml:space="preserve"> </w:t>
            </w:r>
            <w:r>
              <w:rPr>
                <w:sz w:val="18"/>
              </w:rPr>
              <w:t xml:space="preserve">stratégiques</w:t>
            </w:r>
            <w:r>
              <w:rPr>
                <w:rFonts w:cs="Times New Roman" w:hAnsi="Times New Roman" w:eastAsia="Times New Roman" w:ascii="Times New Roman"/>
                <w:i w:val="1"/>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right="12" w:firstLine="0"/>
              <w:jc w:val="right"/>
            </w:pP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5"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r>
      <w:tr>
        <w:trPr>
          <w:trHeight w:val="1117" w:hRule="atLeast"/>
        </w:trPr>
        <w:tc>
          <w:tcPr>
            <w:tcW w:w="2699" w:type="dxa"/>
            <w:tcBorders>
              <w:top w:val="single" w:sz="4" w:color="000000"/>
              <w:left w:val="single" w:sz="4" w:color="000000"/>
              <w:bottom w:val="single" w:sz="4" w:color="000000"/>
              <w:right w:val="single" w:sz="4" w:color="000000"/>
            </w:tcBorders>
            <w:vAlign w:val="top"/>
          </w:tcPr>
          <w:p>
            <w:pPr>
              <w:spacing w:before="0" w:after="0" w:line="259" w:lineRule="auto"/>
              <w:ind w:left="107" w:firstLine="0"/>
              <w:jc w:val="left"/>
            </w:pPr>
            <w:r>
              <w:rPr>
                <w:sz w:val="24"/>
              </w:rPr>
              <w:t xml:space="preserve"> </w:t>
            </w:r>
          </w:p>
          <w:p>
            <w:pPr>
              <w:spacing w:before="0" w:after="0" w:line="259" w:lineRule="auto"/>
              <w:ind w:left="107" w:right="125" w:firstLine="0"/>
            </w:pPr>
            <w:r>
              <w:rPr>
                <w:rFonts w:cs="Times New Roman" w:hAnsi="Times New Roman" w:eastAsia="Times New Roman" w:ascii="Times New Roman"/>
                <w:b w:val="1"/>
              </w:rPr>
              <w:t xml:space="preserve">Produit 3 du projet</w:t>
            </w:r>
            <w:r>
              <w:rPr>
                <w:rFonts w:cs="Times New Roman" w:hAnsi="Times New Roman" w:eastAsia="Times New Roman" w:ascii="Times New Roman"/>
                <w:b w:val="1"/>
                <w:i w:val="1"/>
              </w:rPr>
              <w:t xml:space="preserve">:</w:t>
            </w:r>
            <w:r>
              <w:rPr>
                <w:rFonts w:cs="Times New Roman" w:hAnsi="Times New Roman" w:eastAsia="Times New Roman" w:ascii="Times New Roman"/>
                <w:b w:val="1"/>
                <w:i w:val="1"/>
              </w:rPr>
              <w:t xml:space="preserve"> </w:t>
            </w:r>
            <w:r>
              <w:rPr>
                <w:rFonts w:cs="Times New Roman" w:hAnsi="Times New Roman" w:eastAsia="Times New Roman" w:ascii="Times New Roman"/>
                <w:i w:val="1"/>
                <w:sz w:val="20"/>
              </w:rPr>
              <w:t xml:space="preserve">Les plans locaux de développement sont </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résilients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08" w:right="240" w:firstLine="0"/>
              <w:jc w:val="left"/>
            </w:pPr>
            <w:r>
              <w:rPr>
                <w:sz w:val="18"/>
              </w:rPr>
              <w:t xml:space="preserve">Appui à l‟élaboration et la mise en œuvre de plans de développement des capacités des collectivités</w:t>
            </w:r>
            <w:r>
              <w:rPr>
                <w:sz w:val="18"/>
              </w:rPr>
              <w:t xml:space="preserve"> </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left"/>
            </w:pPr>
            <w:r>
              <w:rPr>
                <w:sz w:val="24"/>
              </w:rPr>
              <w:t xml:space="preserve"> </w:t>
            </w:r>
          </w:p>
        </w:tc>
        <w:tc>
          <w:tcPr>
            <w:tcW w:w="1386" w:type="dxa"/>
            <w:tcBorders>
              <w:top w:val="single" w:sz="4" w:color="000000"/>
              <w:left w:val="single" w:sz="4" w:color="000000"/>
              <w:bottom w:val="single" w:sz="4" w:color="000000"/>
              <w:right w:val="single" w:sz="4" w:color="000000"/>
            </w:tcBorders>
            <w:vAlign w:val="top"/>
          </w:tcPr>
          <w:p>
            <w:pPr>
              <w:spacing w:before="0" w:after="0" w:line="259" w:lineRule="auto"/>
              <w:ind w:left="53"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bl>
    <w:p>
      <w:pPr>
        <w:spacing w:before="0" w:after="0" w:line="259" w:lineRule="auto"/>
        <w:ind w:left="-1440" w:right="12297" w:firstLine="0"/>
        <w:jc w:val="left"/>
      </w:pPr>
    </w:p>
    <w:tbl>
      <w:tblPr>
        <w:tblStyle w:val="TableGrid"/>
        <w:tblW w:w="14040" w:type="dxa"/>
        <w:tblInd w:w="-720" w:type="dxa"/>
        <w:tblCellMar>
          <w:top w:w="5" w:type="dxa"/>
          <w:left w:w="107" w:type="dxa"/>
          <w:bottom w:w="0" w:type="dxa"/>
          <w:right w:w="33" w:type="dxa"/>
        </w:tblCellMar>
      </w:tblPr>
      <w:tblGrid>
        <w:gridCol w:w="2700"/>
        <w:gridCol w:w="2487"/>
        <w:gridCol w:w="610"/>
        <w:gridCol w:w="607"/>
        <w:gridCol w:w="610"/>
        <w:gridCol w:w="610"/>
        <w:gridCol w:w="2256"/>
        <w:gridCol w:w="1385"/>
        <w:gridCol w:w="1388"/>
        <w:gridCol w:w="1387"/>
      </w:tblGrid>
      <w:tr>
        <w:trPr>
          <w:trHeight w:val="744" w:hRule="atLeast"/>
        </w:trPr>
        <w:tc>
          <w:tcPr>
            <w:tcW w:w="2700" w:type="dxa"/>
            <w:vMerge w:val="restart"/>
            <w:tcBorders>
              <w:top w:val="single" w:sz="4" w:color="000000"/>
              <w:left w:val="single" w:sz="4" w:color="000000"/>
              <w:bottom w:val="single" w:sz="4" w:color="000000"/>
              <w:right w:val="single" w:sz="4" w:color="000000"/>
            </w:tcBorders>
            <w:vAlign w:val="top"/>
          </w:tcPr>
          <w:p>
            <w:pPr>
              <w:spacing w:before="0" w:after="37" w:line="238" w:lineRule="auto"/>
              <w:ind w:left="0" w:right="61" w:firstLine="0"/>
              <w:jc w:val="left"/>
            </w:pPr>
            <w:r>
              <w:rPr>
                <w:rFonts w:cs="Times New Roman" w:hAnsi="Times New Roman" w:eastAsia="Times New Roman" w:ascii="Times New Roman"/>
                <w:i w:val="1"/>
                <w:sz w:val="20"/>
              </w:rPr>
              <w:t xml:space="preserve">aux changements climatiques et</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sont </w:t>
            </w:r>
            <w:r>
              <w:rPr>
                <w:rFonts w:cs="Times New Roman" w:hAnsi="Times New Roman" w:eastAsia="Times New Roman" w:ascii="Times New Roman"/>
                <w:i w:val="1"/>
                <w:sz w:val="20"/>
              </w:rPr>
              <w:t xml:space="preserve"> </w:t>
            </w:r>
            <w:r>
              <w:rPr>
                <w:rFonts w:cs="Times New Roman" w:hAnsi="Times New Roman" w:eastAsia="Times New Roman" w:ascii="Times New Roman"/>
                <w:i w:val="1"/>
                <w:sz w:val="20"/>
              </w:rPr>
              <w:t xml:space="preserve">orientés vers une faible émission de GES </w:t>
            </w:r>
            <w:r>
              <w:rPr>
                <w:rFonts w:cs="Times New Roman" w:hAnsi="Times New Roman" w:eastAsia="Times New Roman" w:ascii="Times New Roman"/>
                <w:i w:val="1"/>
                <w:sz w:val="20"/>
              </w:rPr>
              <w:t xml:space="preserve"> </w:t>
            </w:r>
          </w:p>
          <w:p>
            <w:pPr>
              <w:spacing w:before="0" w:after="0" w:line="259" w:lineRule="auto"/>
              <w:ind w:left="0" w:firstLine="0"/>
              <w:jc w:val="left"/>
            </w:pPr>
            <w:r>
              <w:rPr>
                <w:sz w:val="24"/>
              </w:rPr>
              <w:t xml:space="preserve"> </w:t>
            </w:r>
          </w:p>
          <w:p>
            <w:pPr>
              <w:spacing w:before="0" w:after="0" w:line="259" w:lineRule="auto"/>
              <w:ind w:left="0" w:right="15" w:firstLine="0"/>
              <w:jc w:val="right"/>
            </w:pPr>
            <w:r>
              <w:rPr>
                <w:sz w:val="24"/>
              </w:rPr>
              <w:t xml:space="preserve"> </w:t>
            </w:r>
          </w:p>
          <w:p>
            <w:pPr>
              <w:spacing w:before="0" w:after="0" w:line="259" w:lineRule="auto"/>
              <w:ind w:left="0" w:firstLine="0"/>
              <w:jc w:val="left"/>
            </w:pP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right="71" w:firstLine="0"/>
              <w:jc w:val="left"/>
            </w:pPr>
            <w:r>
              <w:rPr>
                <w:sz w:val="16"/>
              </w:rPr>
              <w:t xml:space="preserve">Formation des structures d‟appui</w:t>
            </w:r>
            <w:r>
              <w:rPr>
                <w:sz w:val="16"/>
              </w:rPr>
              <w:t xml:space="preserve"/>
            </w:r>
            <w:r>
              <w:rPr>
                <w:sz w:val="16"/>
              </w:rPr>
              <w:t xml:space="preserve">Conseil (outils de mainstreaming et méthodologie d‟élaboration des chartes locales)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2"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r>
      <w:tr>
        <w:trPr>
          <w:trHeight w:val="56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6"/>
              </w:rPr>
              <w:t xml:space="preserve">Adaptation/diffusion des outils d‟analyse de vulnérabilité et de mainstreaming au niveau local</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3" w:firstLine="0"/>
              <w:jc w:val="center"/>
            </w:pPr>
            <w:r>
              <w:rPr>
                <w:rFonts w:cs="Agency FB" w:hAnsi="Agency FB" w:eastAsia="Agency FB" w:ascii="Agency FB"/>
                <w:sz w:val="16"/>
              </w:rPr>
              <w:t xml:space="preserve">30000</w:t>
            </w:r>
            <w:r>
              <w:rPr>
                <w:rFonts w:cs="Agency FB" w:hAnsi="Agency FB" w:eastAsia="Agency FB" w:ascii="Agency FB"/>
                <w:sz w:val="16"/>
              </w:rPr>
              <w:t xml:space="preserve"> </w:t>
            </w:r>
          </w:p>
        </w:tc>
      </w:tr>
      <w:tr>
        <w:trPr>
          <w:trHeight w:val="92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Capitalisation et diffusion des bonnes pratiques de cogestion et de promotion des énergies alternatives</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3" w:firstLine="0"/>
              <w:jc w:val="center"/>
            </w:pPr>
            <w:r>
              <w:rPr>
                <w:rFonts w:cs="Agency FB" w:hAnsi="Agency FB" w:eastAsia="Agency FB" w:ascii="Agency FB"/>
                <w:sz w:val="16"/>
              </w:rPr>
              <w:t xml:space="preserve">60000</w:t>
            </w:r>
            <w:r>
              <w:rPr>
                <w:rFonts w:cs="Agency FB" w:hAnsi="Agency FB" w:eastAsia="Agency FB" w:ascii="Agency FB"/>
                <w:sz w:val="16"/>
              </w:rPr>
              <w:t xml:space="preserve"> </w:t>
            </w:r>
          </w:p>
        </w:tc>
      </w:tr>
      <w:tr>
        <w:trPr>
          <w:trHeight w:val="747"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right="24" w:firstLine="0"/>
              <w:jc w:val="left"/>
            </w:pPr>
            <w:r>
              <w:rPr>
                <w:sz w:val="16"/>
              </w:rPr>
              <w:t xml:space="preserve">Appui à l‟intégration de la dimension changements climatiques</w:t>
            </w:r>
            <w:r>
              <w:rPr>
                <w:sz w:val="16"/>
              </w:rPr>
              <w:t xml:space="preserve"> </w:t>
            </w:r>
            <w:r>
              <w:rPr>
                <w:sz w:val="16"/>
              </w:rPr>
              <w:t xml:space="preserve">dans les  plans locaux de développement</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sz w:val="16"/>
              </w:rPr>
              <w:t xml:space="preserve">SP/CONEDD</w:t>
            </w: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3" w:firstLine="0"/>
              <w:jc w:val="center"/>
            </w:pPr>
            <w:r>
              <w:rPr>
                <w:rFonts w:cs="Agency FB" w:hAnsi="Agency FB" w:eastAsia="Agency FB" w:ascii="Agency FB"/>
                <w:sz w:val="16"/>
              </w:rPr>
              <w:t xml:space="preserve">60000</w:t>
            </w:r>
            <w:r>
              <w:rPr>
                <w:rFonts w:cs="Agency FB" w:hAnsi="Agency FB" w:eastAsia="Agency FB" w:ascii="Agency FB"/>
                <w:sz w:val="16"/>
              </w:rPr>
              <w:t xml:space="preserve"> </w:t>
            </w:r>
          </w:p>
        </w:tc>
      </w:tr>
      <w:tr>
        <w:trPr>
          <w:trHeight w:val="37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6"/>
              </w:rPr>
              <w:t xml:space="preserve">Appui à l‟élaboration de chartes locales</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sz w:val="16"/>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5" w:firstLine="0"/>
              <w:jc w:val="center"/>
            </w:pPr>
            <w:r>
              <w:rPr>
                <w:rFonts w:cs="Agency FB" w:hAnsi="Agency FB" w:eastAsia="Agency FB" w:ascii="Agency FB"/>
                <w:sz w:val="16"/>
              </w:rPr>
              <w:t xml:space="preserve">10000</w:t>
            </w:r>
            <w:r>
              <w:rPr>
                <w:rFonts w:cs="Agency FB" w:hAnsi="Agency FB" w:eastAsia="Agency FB" w:ascii="Agency FB"/>
                <w:sz w:val="16"/>
              </w:rPr>
              <w:t xml:space="preserve"> </w:t>
            </w:r>
          </w:p>
        </w:tc>
      </w:tr>
      <w:tr>
        <w:trPr>
          <w:trHeight w:val="425" w:hRule="atLeast"/>
        </w:trPr>
        <w:tc>
          <w:tcPr>
            <w:tcW w:w="2700"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sz w:val="18"/>
              </w:rPr>
              <w:t xml:space="preserve">Produit 4.du projet</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 </w:t>
            </w:r>
          </w:p>
          <w:p>
            <w:pPr>
              <w:spacing w:before="0" w:after="20" w:line="259" w:lineRule="auto"/>
              <w:ind w:left="0" w:right="37" w:firstLine="0"/>
              <w:jc w:val="center"/>
            </w:pPr>
            <w:r>
              <w:rPr>
                <w:sz w:val="16"/>
              </w:rPr>
              <w:t xml:space="preserve"> </w:t>
            </w:r>
          </w:p>
          <w:p>
            <w:pPr>
              <w:spacing w:before="0" w:after="34" w:line="242" w:lineRule="auto"/>
              <w:ind w:left="0" w:right="111" w:firstLine="0"/>
            </w:pPr>
            <w:r>
              <w:rPr>
                <w:rFonts w:cs="Times New Roman" w:hAnsi="Times New Roman" w:eastAsia="Times New Roman" w:ascii="Times New Roman"/>
                <w:i w:val="1"/>
                <w:sz w:val="20"/>
              </w:rPr>
              <w:t xml:space="preserve">Les CT et les communautés bénéficient des mécanismes de financement appropriés pour mettre en œuvre plans locaux de développement  résilients aux changements climatiques et orientés vers une faible</w:t>
            </w:r>
            <w:r>
              <w:rPr>
                <w:sz w:val="20"/>
              </w:rPr>
              <w:t xml:space="preserve"> </w:t>
            </w:r>
            <w:r>
              <w:rPr>
                <w:rFonts w:cs="Times New Roman" w:hAnsi="Times New Roman" w:eastAsia="Times New Roman" w:ascii="Times New Roman"/>
                <w:i w:val="1"/>
                <w:sz w:val="20"/>
              </w:rPr>
              <w:t xml:space="preserve">émission de GES</w:t>
            </w:r>
            <w:r>
              <w:rPr>
                <w:rFonts w:cs="Times New Roman" w:hAnsi="Times New Roman" w:eastAsia="Times New Roman" w:ascii="Times New Roman"/>
                <w:i w:val="1"/>
                <w:sz w:val="20"/>
              </w:rPr>
              <w:t xml:space="preserve"> </w:t>
            </w:r>
          </w:p>
          <w:p>
            <w:pPr>
              <w:spacing w:before="0" w:after="0" w:line="259" w:lineRule="auto"/>
              <w:ind w:left="0" w:firstLine="0"/>
              <w:jc w:val="left"/>
            </w:pP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Appui à la mise en place d‟un Fonds National pour le Climat</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SP/CONEDD</w:t>
            </w:r>
            <w:r>
              <w:rPr>
                <w:sz w:val="24"/>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r>
        <w:trPr>
          <w:trHeight w:val="104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Appui à l‟adaptation des mécanismes de financement</w:t>
            </w:r>
            <w:r>
              <w:rPr>
                <w:sz w:val="18"/>
              </w:rPr>
              <w:t xml:space="preserve"> </w:t>
            </w:r>
            <w:r>
              <w:rPr>
                <w:sz w:val="18"/>
              </w:rPr>
              <w:t xml:space="preserve">du  développement local aux besoins de réponse aux changements climatiques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SP/CONEDD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r>
        <w:trPr>
          <w:trHeight w:val="93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38" w:lineRule="auto"/>
              <w:ind w:left="0" w:firstLine="0"/>
              <w:jc w:val="left"/>
            </w:pPr>
            <w:r>
              <w:rPr>
                <w:sz w:val="16"/>
              </w:rPr>
              <w:t xml:space="preserve">Renforcement des capacités des acteurs des collectivités à </w:t>
            </w:r>
          </w:p>
          <w:p>
            <w:pPr>
              <w:spacing w:before="0" w:after="0" w:line="259" w:lineRule="auto"/>
              <w:ind w:left="0" w:right="8" w:firstLine="0"/>
              <w:jc w:val="left"/>
            </w:pPr>
            <w:r>
              <w:rPr>
                <w:sz w:val="16"/>
              </w:rPr>
              <w:t xml:space="preserve">mobiliser les ressources financières (fonds adaptation, secteur privé, etc)</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SP/CONEDD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2"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r>
      <w:tr>
        <w:trPr>
          <w:trHeight w:val="74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6"/>
              </w:rPr>
              <w:t xml:space="preserve">Appui à l‟élaboration de projets d‟adaption et/ou d‟atténuation (approche territoriale du Climat, technologies appropriées)</w:t>
            </w:r>
            <w:r>
              <w:rPr>
                <w:sz w:val="16"/>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SP/CONEDD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r>
        <w:trPr>
          <w:trHeight w:val="92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0" w:right="21" w:firstLine="0"/>
              <w:jc w:val="left"/>
            </w:pPr>
            <w:r>
              <w:rPr>
                <w:sz w:val="20"/>
              </w:rPr>
              <w:t xml:space="preserve">Appui à la mise en œuvre des plans locaux de développement</w:t>
            </w:r>
            <w:r>
              <w:rPr>
                <w:sz w:val="20"/>
              </w:rPr>
              <w:t xml:space="preserve"> </w:t>
            </w:r>
            <w:r>
              <w:rPr>
                <w:sz w:val="20"/>
              </w:rPr>
              <w:t xml:space="preserve">et des projets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SP/CONEDD</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2" w:firstLine="0"/>
              <w:jc w:val="center"/>
            </w:pPr>
            <w:r>
              <w:rPr>
                <w:rFonts w:cs="Agency FB" w:hAnsi="Agency FB" w:eastAsia="Agency FB" w:ascii="Agency FB"/>
                <w:sz w:val="16"/>
              </w:rPr>
              <w:t xml:space="preserve">100000</w:t>
            </w:r>
            <w:r>
              <w:rPr>
                <w:rFonts w:cs="Agency FB" w:hAnsi="Agency FB" w:eastAsia="Agency FB" w:ascii="Agency FB"/>
                <w:sz w:val="16"/>
              </w:rPr>
              <w:t xml:space="preserve"> </w:t>
            </w:r>
          </w:p>
        </w:tc>
      </w:tr>
      <w:tr>
        <w:trPr>
          <w:trHeight w:val="1162"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40" w:lineRule="auto"/>
              <w:ind w:left="0" w:firstLine="0"/>
              <w:jc w:val="left"/>
            </w:pPr>
            <w:r>
              <w:rPr>
                <w:sz w:val="20"/>
              </w:rPr>
              <w:t xml:space="preserve">Appui aux initiatives communautaires par le programme FEM/ONG </w:t>
            </w:r>
          </w:p>
          <w:p>
            <w:pPr>
              <w:spacing w:before="0" w:after="0" w:line="259" w:lineRule="auto"/>
              <w:ind w:left="0" w:firstLine="0"/>
              <w:jc w:val="left"/>
            </w:pPr>
            <w:r>
              <w:rPr>
                <w:sz w:val="20"/>
              </w:rPr>
              <w:t xml:space="preserve">(initiative Grand‟mère Solaire)</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FEM/ONG</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0" w:right="75" w:firstLine="0"/>
              <w:jc w:val="center"/>
            </w:pPr>
            <w:r>
              <w:rPr>
                <w:rFonts w:cs="Agency FB" w:hAnsi="Agency FB" w:eastAsia="Agency FB" w:ascii="Agency FB"/>
                <w:sz w:val="16"/>
              </w:rPr>
              <w:t xml:space="preserve">50000</w:t>
            </w:r>
            <w:r>
              <w:rPr>
                <w:rFonts w:cs="Agency FB" w:hAnsi="Agency FB" w:eastAsia="Agency FB" w:ascii="Agency FB"/>
                <w:sz w:val="16"/>
              </w:rPr>
              <w:t xml:space="preserve"> </w:t>
            </w:r>
          </w:p>
        </w:tc>
      </w:tr>
    </w:tbl>
    <w:tbl>
      <w:tblPr>
        <w:tblStyle w:val="TableGrid"/>
        <w:tblW w:w="14040" w:type="dxa"/>
        <w:tblInd w:w="-719" w:type="dxa"/>
        <w:tblCellMar>
          <w:top w:w="5" w:type="dxa"/>
          <w:left w:w="107" w:type="dxa"/>
          <w:bottom w:w="0" w:type="dxa"/>
          <w:right w:w="33" w:type="dxa"/>
        </w:tblCellMar>
      </w:tblPr>
      <w:tblGrid>
        <w:gridCol w:w="2700"/>
        <w:gridCol w:w="2487"/>
        <w:gridCol w:w="610"/>
        <w:gridCol w:w="607"/>
        <w:gridCol w:w="610"/>
        <w:gridCol w:w="610"/>
        <w:gridCol w:w="2256"/>
        <w:gridCol w:w="1385"/>
        <w:gridCol w:w="1388"/>
        <w:gridCol w:w="1387"/>
      </w:tblGrid>
      <w:tr>
        <w:trPr>
          <w:trHeight w:val="698" w:hRule="atLeast"/>
        </w:trPr>
        <w:tc>
          <w:tcPr>
            <w:tcW w:w="270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Appui aux initiatives de promotion de l‟énergie alternative (PTFM vertes)</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PN/PTFM</w:t>
            </w:r>
            <w:r>
              <w:rPr>
                <w:sz w:val="18"/>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top"/>
          </w:tcPr>
          <w:p>
            <w:pPr>
              <w:spacing w:before="0" w:after="0" w:line="259" w:lineRule="auto"/>
              <w:ind w:left="12" w:firstLine="0"/>
              <w:jc w:val="center"/>
            </w:pPr>
            <w:r>
              <w:rPr>
                <w:rFonts w:cs="Agency FB" w:hAnsi="Agency FB" w:eastAsia="Agency FB" w:ascii="Agency FB"/>
                <w:sz w:val="16"/>
              </w:rPr>
              <w:t xml:space="preserve">20000</w:t>
            </w:r>
            <w:r>
              <w:rPr>
                <w:rFonts w:cs="Agency FB" w:hAnsi="Agency FB" w:eastAsia="Agency FB" w:ascii="Agency FB"/>
                <w:sz w:val="16"/>
              </w:rPr>
              <w:t xml:space="preserve"> </w:t>
            </w:r>
          </w:p>
        </w:tc>
      </w:tr>
      <w:tr>
        <w:trPr>
          <w:trHeight w:val="286" w:hRule="atLeast"/>
        </w:trPr>
        <w:tc>
          <w:tcPr>
            <w:tcW w:w="2700"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 </w:t>
            </w:r>
          </w:p>
          <w:p>
            <w:pPr>
              <w:spacing w:before="0" w:after="0" w:line="259" w:lineRule="auto"/>
              <w:ind w:left="0" w:firstLine="0"/>
              <w:jc w:val="left"/>
            </w:pPr>
            <w:r>
              <w:rPr>
                <w:sz w:val="18"/>
              </w:rPr>
              <w:t xml:space="preserve">La gestion du projet est axée sur les résultats de développement</w:t>
            </w:r>
            <w:r>
              <w:rPr>
                <w:sz w:val="18"/>
              </w:rPr>
              <w:t xml:space="preserve"> </w:t>
            </w:r>
            <w:r>
              <w:rPr>
                <w:sz w:val="18"/>
              </w:rPr>
              <w:t xml:space="preserve">et efficace</w:t>
            </w:r>
            <w:r>
              <w:rPr>
                <w:sz w:val="24"/>
              </w:rPr>
              <w:t xml:space="preserve"> </w:t>
            </w: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Personnel </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24"/>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sz w:val="16"/>
              </w:rPr>
              <w:t xml:space="preserve">            </w:t>
            </w:r>
            <w:r>
              <w:rPr>
                <w:rFonts w:cs="Calibri" w:hAnsi="Calibri" w:eastAsia="Calibri" w:ascii="Calibri"/>
                <w:sz w:val="16"/>
              </w:rPr>
              <w:t xml:space="preserve">89 000   </w:t>
            </w:r>
            <w:r>
              <w:rPr>
                <w:rFonts w:cs="Calibri" w:hAnsi="Calibri" w:eastAsia="Calibri" w:ascii="Calibri"/>
                <w:sz w:val="16"/>
              </w:rPr>
              <w:t xml:space="preserve"> </w:t>
            </w:r>
          </w:p>
        </w:tc>
      </w:tr>
      <w:tr>
        <w:trPr>
          <w:trHeight w:val="288"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Equipement</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24"/>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sz w:val="16"/>
              </w:rPr>
              <w:t xml:space="preserve">            </w:t>
            </w:r>
            <w:r>
              <w:rPr>
                <w:rFonts w:cs="Calibri" w:hAnsi="Calibri" w:eastAsia="Calibri" w:ascii="Calibri"/>
                <w:sz w:val="16"/>
              </w:rPr>
              <w:t xml:space="preserve">8500   </w:t>
            </w:r>
            <w:r>
              <w:rPr>
                <w:rFonts w:cs="Calibri" w:hAnsi="Calibri" w:eastAsia="Calibri" w:ascii="Calibri"/>
                <w:sz w:val="16"/>
              </w:rPr>
              <w:t xml:space="preserve"> </w:t>
            </w:r>
          </w:p>
        </w:tc>
      </w:tr>
      <w:tr>
        <w:trPr>
          <w:trHeight w:val="286"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Fonctionnement</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x</w:t>
            </w: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24"/>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sz w:val="16"/>
              </w:rPr>
              <w:t xml:space="preserve">          </w:t>
            </w:r>
            <w:r>
              <w:rPr>
                <w:rFonts w:cs="Calibri" w:hAnsi="Calibri" w:eastAsia="Calibri" w:ascii="Calibri"/>
                <w:sz w:val="16"/>
              </w:rPr>
              <w:t xml:space="preserve">112 000   </w:t>
            </w:r>
            <w:r>
              <w:rPr>
                <w:rFonts w:cs="Calibri" w:hAnsi="Calibri" w:eastAsia="Calibri" w:ascii="Calibri"/>
                <w:sz w:val="16"/>
              </w:rPr>
              <w:t xml:space="preserve"> </w:t>
            </w:r>
          </w:p>
        </w:tc>
      </w:tr>
      <w:tr>
        <w:trPr>
          <w:trHeight w:val="28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8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Audit et évaluation</w:t>
            </w:r>
            <w:r>
              <w:rPr>
                <w:sz w:val="18"/>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07"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61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2256"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18"/>
              </w:rPr>
              <w:t xml:space="preserve">SP/CONEDD</w:t>
            </w:r>
            <w:r>
              <w:rPr>
                <w:sz w:val="24"/>
              </w:rPr>
              <w:t xml:space="preserve"> </w:t>
            </w:r>
          </w:p>
        </w:tc>
        <w:tc>
          <w:tcPr>
            <w:tcW w:w="1385"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TRAC</w:t>
            </w:r>
            <w:r>
              <w:rPr>
                <w:sz w:val="24"/>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vAlign w:val="bottom"/>
          </w:tcPr>
          <w:p>
            <w:pPr>
              <w:spacing w:before="0" w:after="0" w:line="259" w:lineRule="auto"/>
              <w:ind w:left="1" w:firstLine="0"/>
              <w:jc w:val="left"/>
            </w:pPr>
            <w:r>
              <w:rPr>
                <w:rFonts w:cs="Calibri" w:hAnsi="Calibri" w:eastAsia="Calibri" w:ascii="Calibri"/>
                <w:sz w:val="16"/>
              </w:rPr>
              <w:t xml:space="preserve">                     -      </w:t>
            </w:r>
          </w:p>
        </w:tc>
      </w:tr>
      <w:tr>
        <w:trPr>
          <w:trHeight w:val="593" w:hRule="atLeast"/>
        </w:trPr>
        <w:tc>
          <w:tcPr>
            <w:tcW w:w="2700"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0" w:firstLine="0"/>
              <w:jc w:val="left"/>
            </w:pPr>
            <w:r>
              <w:rPr>
                <w:sz w:val="24"/>
              </w:rPr>
              <w:t xml:space="preserve">TOTAL</w:t>
            </w:r>
            <w:r>
              <w:rPr>
                <w:sz w:val="24"/>
              </w:rPr>
              <w:t xml:space="preserve"> </w:t>
            </w:r>
          </w:p>
        </w:tc>
        <w:tc>
          <w:tcPr>
            <w:tcW w:w="2487" w:type="dxa"/>
            <w:tcBorders>
              <w:top w:val="single" w:sz="4" w:color="000000"/>
              <w:left w:val="single" w:sz="4" w:color="000000"/>
              <w:bottom w:val="single" w:sz="4" w:color="000000"/>
              <w:right w:val="nil"/>
            </w:tcBorders>
            <w:vAlign w:val="top"/>
          </w:tcPr>
          <w:p>
            <w:pPr>
              <w:spacing w:before="0" w:after="0" w:line="259" w:lineRule="auto"/>
              <w:ind w:left="1" w:firstLine="0"/>
              <w:jc w:val="left"/>
            </w:pPr>
            <w:r>
              <w:rPr>
                <w:sz w:val="24"/>
              </w:rPr>
              <w:t xml:space="preserve"> </w:t>
            </w:r>
          </w:p>
        </w:tc>
        <w:tc>
          <w:tcPr>
            <w:tcW w:w="610" w:type="dxa"/>
            <w:tcBorders>
              <w:top w:val="single" w:sz="4" w:color="000000"/>
              <w:left w:val="nil"/>
              <w:bottom w:val="single" w:sz="4" w:color="000000"/>
              <w:right w:val="nil"/>
            </w:tcBorders>
            <w:vAlign w:val="top"/>
          </w:tcPr>
          <w:p>
            <w:pPr>
              <w:spacing w:before="0" w:after="0" w:line="259" w:lineRule="auto"/>
              <w:ind w:left="1" w:firstLine="0"/>
              <w:jc w:val="left"/>
            </w:pPr>
            <w:r>
              <w:rPr>
                <w:sz w:val="24"/>
              </w:rPr>
              <w:t xml:space="preserve"> </w:t>
            </w:r>
          </w:p>
        </w:tc>
        <w:tc>
          <w:tcPr>
            <w:tcW w:w="607" w:type="dxa"/>
            <w:tcBorders>
              <w:top w:val="single" w:sz="4" w:color="000000"/>
              <w:left w:val="nil"/>
              <w:bottom w:val="single" w:sz="4" w:color="000000"/>
              <w:right w:val="nil"/>
            </w:tcBorders>
            <w:vAlign w:val="top"/>
          </w:tcPr>
          <w:p>
            <w:pPr>
              <w:spacing w:before="0" w:after="0" w:line="259" w:lineRule="auto"/>
              <w:ind w:left="1" w:firstLine="0"/>
              <w:jc w:val="left"/>
            </w:pPr>
            <w:r>
              <w:rPr>
                <w:sz w:val="24"/>
              </w:rPr>
              <w:t xml:space="preserve"> </w:t>
            </w:r>
          </w:p>
        </w:tc>
        <w:tc>
          <w:tcPr>
            <w:tcW w:w="610" w:type="dxa"/>
            <w:tcBorders>
              <w:top w:val="single" w:sz="4" w:color="000000"/>
              <w:left w:val="nil"/>
              <w:bottom w:val="single" w:sz="4" w:color="000000"/>
              <w:right w:val="nil"/>
            </w:tcBorders>
            <w:vAlign w:val="top"/>
          </w:tcPr>
          <w:p>
            <w:pPr>
              <w:spacing w:before="0" w:after="0" w:line="259" w:lineRule="auto"/>
              <w:ind w:left="1" w:firstLine="0"/>
              <w:jc w:val="left"/>
            </w:pPr>
            <w:r>
              <w:rPr>
                <w:sz w:val="24"/>
              </w:rPr>
              <w:t xml:space="preserve"> </w:t>
            </w:r>
          </w:p>
        </w:tc>
        <w:tc>
          <w:tcPr>
            <w:tcW w:w="610" w:type="dxa"/>
            <w:tcBorders>
              <w:top w:val="single" w:sz="4" w:color="000000"/>
              <w:left w:val="nil"/>
              <w:bottom w:val="single" w:sz="4" w:color="000000"/>
              <w:right w:val="nil"/>
            </w:tcBorders>
            <w:vAlign w:val="top"/>
          </w:tcPr>
          <w:p>
            <w:pPr>
              <w:spacing w:before="0" w:after="0" w:line="259" w:lineRule="auto"/>
              <w:ind w:left="1" w:firstLine="0"/>
              <w:jc w:val="left"/>
            </w:pPr>
            <w:r>
              <w:rPr>
                <w:sz w:val="24"/>
              </w:rPr>
              <w:t xml:space="preserve"> </w:t>
            </w:r>
          </w:p>
        </w:tc>
        <w:tc>
          <w:tcPr>
            <w:tcW w:w="2256" w:type="dxa"/>
            <w:tcBorders>
              <w:top w:val="single" w:sz="4" w:color="000000"/>
              <w:left w:val="nil"/>
              <w:bottom w:val="single" w:sz="4" w:color="000000"/>
              <w:right w:val="nil"/>
            </w:tcBorders>
            <w:vAlign w:val="top"/>
          </w:tcPr>
          <w:p>
            <w:pPr>
              <w:spacing w:before="0" w:after="0" w:line="259" w:lineRule="auto"/>
              <w:ind w:left="1" w:firstLine="0"/>
              <w:jc w:val="left"/>
            </w:pPr>
            <w:r>
              <w:rPr>
                <w:sz w:val="24"/>
              </w:rPr>
              <w:t xml:space="preserve"> </w:t>
            </w:r>
          </w:p>
        </w:tc>
        <w:tc>
          <w:tcPr>
            <w:tcW w:w="1385" w:type="dxa"/>
            <w:tcBorders>
              <w:top w:val="single" w:sz="4" w:color="000000"/>
              <w:left w:val="nil"/>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88"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 w:firstLine="0"/>
              <w:jc w:val="left"/>
            </w:pPr>
            <w:r>
              <w:rPr>
                <w:sz w:val="24"/>
              </w:rPr>
              <w:t xml:space="preserve"> </w:t>
            </w:r>
          </w:p>
        </w:tc>
        <w:tc>
          <w:tcPr>
            <w:tcW w:w="1387"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 w:firstLine="0"/>
              <w:jc w:val="left"/>
            </w:pPr>
            <w:r>
              <w:rPr>
                <w:rFonts w:cs="Calibri" w:hAnsi="Calibri" w:eastAsia="Calibri" w:ascii="Calibri"/>
                <w:sz w:val="16"/>
              </w:rPr>
              <w:t xml:space="preserve">           </w:t>
            </w:r>
          </w:p>
          <w:p>
            <w:pPr>
              <w:spacing w:before="0" w:after="0" w:line="259" w:lineRule="auto"/>
              <w:ind w:left="1" w:firstLine="0"/>
              <w:jc w:val="left"/>
            </w:pPr>
            <w:r>
              <w:rPr>
                <w:rFonts w:cs="Calibri" w:hAnsi="Calibri" w:eastAsia="Calibri" w:ascii="Calibri"/>
                <w:b w:val="1"/>
                <w:sz w:val="16"/>
              </w:rPr>
              <w:t xml:space="preserve">       </w:t>
            </w:r>
            <w:r>
              <w:rPr>
                <w:rFonts w:cs="Calibri" w:hAnsi="Calibri" w:eastAsia="Calibri" w:ascii="Calibri"/>
                <w:b w:val="1"/>
                <w:sz w:val="16"/>
              </w:rPr>
              <w:t xml:space="preserve">1 284 017   </w:t>
            </w:r>
            <w:r>
              <w:rPr>
                <w:rFonts w:cs="Calibri" w:hAnsi="Calibri" w:eastAsia="Calibri" w:ascii="Calibri"/>
                <w:b w:val="1"/>
                <w:sz w:val="16"/>
              </w:rPr>
              <w:t xml:space="preserve"> </w:t>
            </w:r>
          </w:p>
          <w:p>
            <w:pPr>
              <w:spacing w:before="0" w:after="0" w:line="259" w:lineRule="auto"/>
              <w:ind w:left="1" w:firstLine="0"/>
              <w:jc w:val="left"/>
            </w:pPr>
            <w:r>
              <w:rPr>
                <w:rFonts w:cs="Calibri" w:hAnsi="Calibri" w:eastAsia="Calibri" w:ascii="Calibri"/>
                <w:sz w:val="16"/>
              </w:rPr>
              <w:t xml:space="preserve"> </w:t>
            </w:r>
          </w:p>
        </w:tc>
      </w:tr>
    </w:tbl>
    <w:p>
      <w:pPr>
        <w:spacing w:before="0" w:after="0" w:line="239" w:lineRule="auto"/>
        <w:ind w:left="0" w:right="10787" w:firstLine="0"/>
      </w:pPr>
      <w:r>
        <w:rPr>
          <w:rFonts w:cs="Cambria" w:hAnsi="Cambria" w:eastAsia="Cambria" w:ascii="Cambria"/>
          <w:b w:val="1"/>
          <w:color w:val="365f91"/>
          <w:sz w:val="28"/>
        </w:rPr>
        <w:t xml:space="preserve"> </w:t>
      </w:r>
      <w:r>
        <w:rPr>
          <w:rFonts w:cs="Times New Roman" w:hAnsi="Times New Roman" w:eastAsia="Times New Roman" w:ascii="Times New Roman"/>
          <w:b w:val="1"/>
          <w:sz w:val="28"/>
        </w:rPr>
        <w:t xml:space="preserve"> </w:t>
      </w:r>
    </w:p>
    <w:p>
      <w:pPr>
        <w:spacing w:before="0" w:after="0" w:line="259" w:lineRule="auto"/>
        <w:ind w:left="0" w:firstLine="0"/>
      </w:pPr>
      <w:r>
        <w:rPr>
          <w:rFonts w:cs="Times New Roman" w:hAnsi="Times New Roman" w:eastAsia="Times New Roman" w:ascii="Times New Roman"/>
          <w:b w:val="1"/>
          <w:sz w:val="28"/>
        </w:rPr>
        <w:t xml:space="preserve"> </w:t>
      </w:r>
    </w:p>
    <w:p>
      <w:pPr>
        <w:sectPr>
          <w:headerReference w:type="even" r:id="rId29"/>
          <w:headerReference w:type="default" r:id="rId27"/>
          <w:headerReference w:type="first" r:id="rId25"/>
          <w:footerReference w:type="even" r:id="rId30"/>
          <w:footerReference w:type="default" r:id="rId28"/>
          <w:footerReference w:type="first" r:id="rId26"/>
          <w:pgSz w:w="16838" w:h="11906" w:orient="landscape"/>
          <w:pgMar w:header="766" w:footer="714" w:left="1440" w:top="1601" w:right="4542" w:bottom="1264"/>
          <w:pgNumType w:fmt="decimal"/>
          <w:cols/>
        </w:sectPr>
      </w:pPr>
    </w:p>
    <w:p>
      <w:pPr>
        <w:spacing w:before="0" w:after="103" w:line="259" w:lineRule="auto"/>
        <w:ind w:left="0" w:firstLine="0"/>
        <w:jc w:val="right"/>
      </w:pPr>
      <w:r>
        <w:rPr>
          <w:sz w:val="40"/>
        </w:rPr>
        <w:t xml:space="preserve"> </w:t>
      </w:r>
    </w:p>
    <w:p>
      <w:pPr>
        <w:pStyle w:val="normal"/>
        <w:tabs>
          <w:tab w:val="center" w:pos="2255"/>
          <w:tab w:val="right" w:pos="10360"/>
        </w:tabs>
        <w:spacing w:before="0" w:after="5" w:line="247" w:lineRule="auto"/>
        <w:ind w:left="0"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p>
      <w:pPr>
        <w:pStyle w:val="heading4"/>
        <w:spacing w:before="0" w:after="10" w:line="249" w:lineRule="auto"/>
        <w:ind w:left="-5" w:right="1065"/>
      </w:pPr>
      <w:r>
        <w:rPr>
          <w:rFonts w:cs="Times New Roman" w:hAnsi="Times New Roman" w:eastAsia="Times New Roman" w:ascii="Times New Roman"/>
          <w:b w:val="1"/>
          <w:sz w:val="24"/>
          <w:u w:val="none" w:color="000000"/>
        </w:rPr>
        <w:t xml:space="preserve">4.4.</w:t>
      </w:r>
      <w:r>
        <w:rPr>
          <w:rFonts w:cs="Times New Roman" w:hAnsi="Times New Roman" w:eastAsia="Times New Roman" w:ascii="Times New Roman"/>
          <w:b w:val="1"/>
          <w:sz w:val="24"/>
          <w:u w:val="none" w:color="000000"/>
        </w:rPr>
        <w:t xml:space="preserve"> </w:t>
      </w:r>
      <w:r>
        <w:rPr>
          <w:rFonts w:cs="Times New Roman" w:hAnsi="Times New Roman" w:eastAsia="Times New Roman" w:ascii="Times New Roman"/>
          <w:b w:val="1"/>
          <w:sz w:val="24"/>
          <w:u w:val="none" w:color="000000"/>
        </w:rPr>
        <w:t xml:space="preserve">Plan de décaissement annuel</w:t>
      </w:r>
      <w:r>
        <w:rPr>
          <w:rFonts w:cs="Times New Roman" w:hAnsi="Times New Roman" w:eastAsia="Times New Roman" w:ascii="Times New Roman"/>
          <w:b w:val="1"/>
          <w:sz w:val="24"/>
          <w:u w:val="none" w:color="000000"/>
        </w:rPr>
        <w:t xml:space="preserve">  </w:t>
      </w:r>
    </w:p>
    <w:p>
      <w:pPr>
        <w:spacing w:before="0" w:after="0" w:line="259" w:lineRule="auto"/>
        <w:ind w:left="0" w:firstLine="0"/>
        <w:jc w:val="left"/>
      </w:pPr>
      <w:r>
        <w:rPr>
          <w:sz w:val="24"/>
        </w:rPr>
        <w:t xml:space="preserve"> </w:t>
      </w:r>
    </w:p>
    <w:p>
      <w:pPr>
        <w:spacing w:before="0" w:after="0" w:line="259" w:lineRule="auto"/>
        <w:ind w:left="0" w:firstLine="0"/>
        <w:jc w:val="left"/>
      </w:pPr>
      <w:r>
        <w:rPr>
          <w:sz w:val="24"/>
        </w:rPr>
        <w:t xml:space="preserve"> </w:t>
      </w:r>
    </w:p>
    <w:tbl>
      <w:tblPr>
        <w:tblStyle w:val="TableGrid"/>
        <w:tblW w:w="10348" w:type="dxa"/>
        <w:tblInd w:w="-283" w:type="dxa"/>
        <w:tblCellMar>
          <w:top w:w="12" w:type="dxa"/>
          <w:left w:w="106" w:type="dxa"/>
          <w:bottom w:w="3" w:type="dxa"/>
          <w:right w:w="0" w:type="dxa"/>
        </w:tblCellMar>
      </w:tblPr>
      <w:tblGrid>
        <w:gridCol w:w="3404"/>
        <w:gridCol w:w="1133"/>
        <w:gridCol w:w="1133"/>
        <w:gridCol w:w="1135"/>
        <w:gridCol w:w="1133"/>
        <w:gridCol w:w="1136"/>
        <w:gridCol w:w="1274"/>
      </w:tblGrid>
      <w:tr>
        <w:trPr>
          <w:trHeight w:val="216"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sz w:val="18"/>
              </w:rPr>
              <w:t xml:space="preserve">PRODUITS/ACTIVITES</w:t>
            </w:r>
            <w:r>
              <w:rPr>
                <w:rFonts w:cs="Times New Roman" w:hAnsi="Times New Roman" w:eastAsia="Times New Roman" w:ascii="Times New Roman"/>
                <w:b w:val="1"/>
                <w:sz w:val="18"/>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0" w:right="110" w:firstLine="0"/>
              <w:jc w:val="center"/>
            </w:pPr>
            <w:r>
              <w:rPr>
                <w:rFonts w:cs="Times New Roman" w:hAnsi="Times New Roman" w:eastAsia="Times New Roman" w:ascii="Times New Roman"/>
                <w:b w:val="1"/>
                <w:sz w:val="18"/>
              </w:rPr>
              <w:t xml:space="preserve">2011</w:t>
            </w:r>
            <w:r>
              <w:rPr>
                <w:rFonts w:cs="Times New Roman" w:hAnsi="Times New Roman" w:eastAsia="Times New Roman" w:ascii="Times New Roman"/>
                <w:b w:val="1"/>
                <w:sz w:val="18"/>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0" w:right="105" w:firstLine="0"/>
              <w:jc w:val="center"/>
            </w:pPr>
            <w:r>
              <w:rPr>
                <w:rFonts w:cs="Times New Roman" w:hAnsi="Times New Roman" w:eastAsia="Times New Roman" w:ascii="Times New Roman"/>
                <w:b w:val="1"/>
                <w:sz w:val="18"/>
              </w:rPr>
              <w:t xml:space="preserve">2012</w:t>
            </w:r>
            <w:r>
              <w:rPr>
                <w:rFonts w:cs="Times New Roman" w:hAnsi="Times New Roman" w:eastAsia="Times New Roman" w:ascii="Times New Roman"/>
                <w:b w:val="1"/>
                <w:sz w:val="18"/>
              </w:rPr>
              <w:t xml:space="preserve"> </w:t>
            </w:r>
          </w:p>
        </w:tc>
        <w:tc>
          <w:tcPr>
            <w:tcW w:w="1135" w:type="dxa"/>
            <w:tcBorders>
              <w:top w:val="single" w:sz="4" w:color="000000"/>
              <w:left w:val="single" w:sz="4" w:color="000000"/>
              <w:bottom w:val="single" w:sz="4" w:color="000000"/>
              <w:right w:val="single" w:sz="4" w:color="000000"/>
            </w:tcBorders>
            <w:vAlign w:val="top"/>
          </w:tcPr>
          <w:p>
            <w:pPr>
              <w:spacing w:before="0" w:after="0" w:line="259" w:lineRule="auto"/>
              <w:ind w:left="0" w:right="107" w:firstLine="0"/>
              <w:jc w:val="center"/>
            </w:pPr>
            <w:r>
              <w:rPr>
                <w:rFonts w:cs="Times New Roman" w:hAnsi="Times New Roman" w:eastAsia="Times New Roman" w:ascii="Times New Roman"/>
                <w:b w:val="1"/>
                <w:sz w:val="18"/>
              </w:rPr>
              <w:t xml:space="preserve">2013</w:t>
            </w:r>
            <w:r>
              <w:rPr>
                <w:rFonts w:cs="Times New Roman" w:hAnsi="Times New Roman" w:eastAsia="Times New Roman" w:ascii="Times New Roman"/>
                <w:b w:val="1"/>
                <w:sz w:val="18"/>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0" w:right="105" w:firstLine="0"/>
              <w:jc w:val="center"/>
            </w:pPr>
            <w:r>
              <w:rPr>
                <w:rFonts w:cs="Times New Roman" w:hAnsi="Times New Roman" w:eastAsia="Times New Roman" w:ascii="Times New Roman"/>
                <w:b w:val="1"/>
                <w:sz w:val="18"/>
              </w:rPr>
              <w:t xml:space="preserve">2014</w:t>
            </w:r>
            <w:r>
              <w:rPr>
                <w:rFonts w:cs="Times New Roman" w:hAnsi="Times New Roman" w:eastAsia="Times New Roman" w:ascii="Times New Roman"/>
                <w:b w:val="1"/>
                <w:sz w:val="18"/>
              </w:rPr>
              <w:t xml:space="preserve"> </w:t>
            </w:r>
          </w:p>
        </w:tc>
        <w:tc>
          <w:tcPr>
            <w:tcW w:w="1136" w:type="dxa"/>
            <w:tcBorders>
              <w:top w:val="single" w:sz="4" w:color="000000"/>
              <w:left w:val="single" w:sz="4" w:color="000000"/>
              <w:bottom w:val="single" w:sz="4" w:color="000000"/>
              <w:right w:val="single" w:sz="4" w:color="000000"/>
            </w:tcBorders>
            <w:vAlign w:val="top"/>
          </w:tcPr>
          <w:p>
            <w:pPr>
              <w:spacing w:before="0" w:after="0" w:line="259" w:lineRule="auto"/>
              <w:ind w:left="0" w:right="106" w:firstLine="0"/>
              <w:jc w:val="center"/>
            </w:pPr>
            <w:r>
              <w:rPr>
                <w:rFonts w:cs="Times New Roman" w:hAnsi="Times New Roman" w:eastAsia="Times New Roman" w:ascii="Times New Roman"/>
                <w:b w:val="1"/>
                <w:sz w:val="18"/>
              </w:rPr>
              <w:t xml:space="preserve">2015</w:t>
            </w:r>
            <w:r>
              <w:rPr>
                <w:rFonts w:cs="Times New Roman" w:hAnsi="Times New Roman" w:eastAsia="Times New Roman" w:ascii="Times New Roman"/>
                <w:b w:val="1"/>
                <w:sz w:val="18"/>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0" w:right="105" w:firstLine="0"/>
              <w:jc w:val="center"/>
            </w:pPr>
            <w:r>
              <w:rPr>
                <w:rFonts w:cs="Times New Roman" w:hAnsi="Times New Roman" w:eastAsia="Times New Roman" w:ascii="Times New Roman"/>
                <w:b w:val="1"/>
                <w:sz w:val="18"/>
              </w:rPr>
              <w:t xml:space="preserve">TOTAUX</w:t>
            </w:r>
            <w:r>
              <w:rPr>
                <w:rFonts w:cs="Times New Roman" w:hAnsi="Times New Roman" w:eastAsia="Times New Roman" w:ascii="Times New Roman"/>
                <w:b w:val="1"/>
                <w:sz w:val="18"/>
              </w:rPr>
              <w:t xml:space="preserve"> </w:t>
            </w:r>
          </w:p>
        </w:tc>
      </w:tr>
      <w:tr>
        <w:trPr>
          <w:trHeight w:val="929"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Arial" w:hAnsi="Arial" w:eastAsia="Arial" w:ascii="Arial"/>
                <w:b w:val="1"/>
                <w:sz w:val="16"/>
              </w:rPr>
              <w:t xml:space="preserve">Produit 1. du projet</w:t>
            </w:r>
            <w:r>
              <w:rPr>
                <w:rFonts w:cs="Arial" w:hAnsi="Arial" w:eastAsia="Arial" w:ascii="Arial"/>
                <w:b w:val="1"/>
                <w:sz w:val="16"/>
              </w:rPr>
              <w:t xml:space="preserve">:</w:t>
            </w:r>
            <w:r>
              <w:rPr>
                <w:rFonts w:cs="Arial" w:hAnsi="Arial" w:eastAsia="Arial" w:ascii="Arial"/>
                <w:sz w:val="16"/>
              </w:rPr>
              <w:t xml:space="preserve"> </w:t>
            </w:r>
          </w:p>
          <w:p>
            <w:pPr>
              <w:spacing w:before="0" w:after="0" w:line="259" w:lineRule="auto"/>
              <w:ind w:left="0" w:firstLine="0"/>
              <w:jc w:val="left"/>
            </w:pPr>
            <w:r>
              <w:rPr>
                <w:rFonts w:cs="Arial" w:hAnsi="Arial" w:eastAsia="Arial" w:ascii="Arial"/>
                <w:i w:val="1"/>
                <w:sz w:val="16"/>
              </w:rPr>
              <w:t xml:space="preserve">Les structures centrales sont outillées pour assurer la prise en compte des principes du DD dans la mise en œuvre de la SCADD et des plans locaux de développement</w:t>
            </w:r>
            <w:r>
              <w:rPr>
                <w:rFonts w:cs="Arial" w:hAnsi="Arial" w:eastAsia="Arial" w:ascii="Arial"/>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10" w:firstLine="0"/>
              <w:jc w:val="right"/>
            </w:pPr>
            <w:r>
              <w:rPr>
                <w:rFonts w:cs="Calibri" w:hAnsi="Calibri" w:eastAsia="Calibri" w:ascii="Calibri"/>
                <w:sz w:val="16"/>
              </w:rPr>
              <w:t xml:space="preserve">0</w:t>
            </w:r>
            <w:r>
              <w:rPr>
                <w:rFonts w:cs="Calibri" w:hAnsi="Calibri" w:eastAsia="Calibri" w:ascii="Calibri"/>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sz w:val="16"/>
              </w:rPr>
              <w:t xml:space="preserve">250 000</w:t>
            </w:r>
            <w:r>
              <w:rPr>
                <w:rFonts w:cs="Calibri" w:hAnsi="Calibri" w:eastAsia="Calibri" w:ascii="Calibri"/>
                <w:sz w:val="16"/>
              </w:rPr>
              <w:t xml:space="preserve"> </w:t>
            </w:r>
          </w:p>
        </w:tc>
        <w:tc>
          <w:tcPr>
            <w:tcW w:w="1135"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sz w:val="16"/>
              </w:rPr>
              <w:t xml:space="preserve">210 000</w:t>
            </w:r>
            <w:r>
              <w:rPr>
                <w:rFonts w:cs="Calibri" w:hAnsi="Calibri" w:eastAsia="Calibri" w:ascii="Calibri"/>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sz w:val="16"/>
              </w:rPr>
              <w:t xml:space="preserve">140 000</w:t>
            </w:r>
            <w:r>
              <w:rPr>
                <w:rFonts w:cs="Calibri" w:hAnsi="Calibri" w:eastAsia="Calibri" w:ascii="Calibri"/>
                <w:sz w:val="16"/>
              </w:rPr>
              <w:t xml:space="preserve"> </w:t>
            </w:r>
          </w:p>
        </w:tc>
        <w:tc>
          <w:tcPr>
            <w:tcW w:w="1136"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sz w:val="16"/>
              </w:rPr>
              <w:t xml:space="preserve">20 000</w:t>
            </w:r>
            <w:r>
              <w:rPr>
                <w:rFonts w:cs="Calibri" w:hAnsi="Calibri" w:eastAsia="Calibri" w:ascii="Calibri"/>
                <w:sz w:val="16"/>
              </w:rPr>
              <w:t xml:space="preserve"> </w:t>
            </w:r>
          </w:p>
        </w:tc>
        <w:tc>
          <w:tcPr>
            <w:tcW w:w="1274" w:type="dxa"/>
            <w:tcBorders>
              <w:top w:val="single" w:sz="4" w:color="000000"/>
              <w:left w:val="single" w:sz="4" w:color="000000"/>
              <w:bottom w:val="single" w:sz="4" w:color="000000"/>
              <w:right w:val="single" w:sz="4" w:color="000000"/>
            </w:tcBorders>
            <w:vAlign w:val="bottom"/>
          </w:tcPr>
          <w:p>
            <w:pPr>
              <w:spacing w:before="0" w:after="0" w:line="259" w:lineRule="auto"/>
              <w:ind w:left="0" w:right="103" w:firstLine="0"/>
              <w:jc w:val="right"/>
            </w:pPr>
            <w:r>
              <w:rPr>
                <w:rFonts w:cs="Calibri" w:hAnsi="Calibri" w:eastAsia="Calibri" w:ascii="Calibri"/>
                <w:b w:val="1"/>
                <w:sz w:val="16"/>
              </w:rPr>
              <w:t xml:space="preserve">620 000</w:t>
            </w:r>
            <w:r>
              <w:rPr>
                <w:rFonts w:cs="Calibri" w:hAnsi="Calibri" w:eastAsia="Calibri" w:ascii="Calibri"/>
                <w:b w:val="1"/>
                <w:sz w:val="16"/>
              </w:rPr>
              <w:t xml:space="preserve"> </w:t>
            </w:r>
          </w:p>
        </w:tc>
      </w:tr>
      <w:tr>
        <w:trPr>
          <w:trHeight w:val="953"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i w:val="1"/>
                <w:sz w:val="18"/>
              </w:rPr>
              <w:t xml:space="preserve"> </w:t>
            </w:r>
          </w:p>
          <w:p>
            <w:pPr>
              <w:spacing w:before="0" w:after="0" w:line="259" w:lineRule="auto"/>
              <w:ind w:left="0" w:right="88" w:firstLine="0"/>
              <w:jc w:val="left"/>
            </w:pPr>
            <w:r>
              <w:rPr>
                <w:rFonts w:cs="Arial" w:hAnsi="Arial" w:eastAsia="Arial" w:ascii="Arial"/>
                <w:b w:val="1"/>
                <w:i w:val="1"/>
                <w:sz w:val="16"/>
              </w:rPr>
              <w:t xml:space="preserve">Produit 2. du projet</w:t>
            </w:r>
            <w:r>
              <w:rPr>
                <w:rFonts w:cs="Arial" w:hAnsi="Arial" w:eastAsia="Arial" w:ascii="Arial"/>
                <w:i w:val="1"/>
                <w:sz w:val="16"/>
              </w:rPr>
              <w:t xml:space="preserve">: Les informations pertinentes sur l’état de l’environnement sont disponibles et permettent d’assurer le suivi de la mise en œuvre des politiques environnementales au niveau</w:t>
            </w:r>
            <w:r>
              <w:rPr>
                <w:rFonts w:cs="Times New Roman" w:hAnsi="Times New Roman" w:eastAsia="Times New Roman" w:ascii="Times New Roman"/>
                <w:i w:val="1"/>
                <w:sz w:val="20"/>
              </w:rPr>
              <w:t xml:space="preserve"> </w:t>
            </w:r>
            <w:r>
              <w:rPr>
                <w:rFonts w:cs="Arial" w:hAnsi="Arial" w:eastAsia="Arial" w:ascii="Arial"/>
                <w:i w:val="1"/>
                <w:sz w:val="16"/>
              </w:rPr>
              <w:t xml:space="preserve">décentralisé</w:t>
            </w:r>
            <w:r>
              <w:rPr>
                <w:sz w:val="18"/>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10" w:firstLine="0"/>
              <w:jc w:val="right"/>
            </w:pPr>
            <w:r>
              <w:rPr>
                <w:rFonts w:cs="Calibri" w:hAnsi="Calibri" w:eastAsia="Calibri" w:ascii="Calibri"/>
                <w:sz w:val="18"/>
              </w:rPr>
              <w:t xml:space="preserve">0</w:t>
            </w:r>
            <w:r>
              <w:rPr>
                <w:rFonts w:cs="Calibri" w:hAnsi="Calibri" w:eastAsia="Calibri" w:ascii="Calibri"/>
                <w:sz w:val="18"/>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sz w:val="18"/>
              </w:rPr>
              <w:t xml:space="preserve">255000</w:t>
            </w:r>
            <w:r>
              <w:rPr>
                <w:rFonts w:cs="Calibri" w:hAnsi="Calibri" w:eastAsia="Calibri" w:ascii="Calibri"/>
                <w:sz w:val="18"/>
              </w:rPr>
              <w:t xml:space="preserve"> </w:t>
            </w:r>
          </w:p>
        </w:tc>
        <w:tc>
          <w:tcPr>
            <w:tcW w:w="1135" w:type="dxa"/>
            <w:tcBorders>
              <w:top w:val="single" w:sz="4" w:color="000000"/>
              <w:left w:val="single" w:sz="4" w:color="000000"/>
              <w:bottom w:val="single" w:sz="4" w:color="000000"/>
              <w:right w:val="single" w:sz="4" w:color="000000"/>
            </w:tcBorders>
            <w:vAlign w:val="bottom"/>
          </w:tcPr>
          <w:p>
            <w:pPr>
              <w:spacing w:before="0" w:after="0" w:line="259" w:lineRule="auto"/>
              <w:ind w:left="0" w:right="110" w:firstLine="0"/>
              <w:jc w:val="right"/>
            </w:pPr>
            <w:r>
              <w:rPr>
                <w:rFonts w:cs="Calibri" w:hAnsi="Calibri" w:eastAsia="Calibri" w:ascii="Calibri"/>
                <w:sz w:val="18"/>
              </w:rPr>
              <w:t xml:space="preserve">165000</w:t>
            </w:r>
            <w:r>
              <w:rPr>
                <w:rFonts w:cs="Calibri" w:hAnsi="Calibri" w:eastAsia="Calibri" w:ascii="Calibri"/>
                <w:sz w:val="18"/>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sz w:val="18"/>
              </w:rPr>
              <w:t xml:space="preserve">20000</w:t>
            </w:r>
            <w:r>
              <w:rPr>
                <w:rFonts w:cs="Calibri" w:hAnsi="Calibri" w:eastAsia="Calibri" w:ascii="Calibri"/>
                <w:sz w:val="18"/>
              </w:rPr>
              <w:t xml:space="preserve"> </w:t>
            </w:r>
          </w:p>
        </w:tc>
        <w:tc>
          <w:tcPr>
            <w:tcW w:w="1136" w:type="dxa"/>
            <w:tcBorders>
              <w:top w:val="single" w:sz="4" w:color="000000"/>
              <w:left w:val="single" w:sz="4" w:color="000000"/>
              <w:bottom w:val="single" w:sz="4" w:color="000000"/>
              <w:right w:val="single" w:sz="4" w:color="000000"/>
            </w:tcBorders>
            <w:vAlign w:val="bottom"/>
          </w:tcPr>
          <w:p>
            <w:pPr>
              <w:spacing w:before="0" w:after="0" w:line="259" w:lineRule="auto"/>
              <w:ind w:left="0" w:right="110" w:firstLine="0"/>
              <w:jc w:val="right"/>
            </w:pPr>
            <w:r>
              <w:rPr>
                <w:rFonts w:cs="Calibri" w:hAnsi="Calibri" w:eastAsia="Calibri" w:ascii="Calibri"/>
                <w:sz w:val="18"/>
              </w:rPr>
              <w:t xml:space="preserve">40000</w:t>
            </w:r>
            <w:r>
              <w:rPr>
                <w:rFonts w:cs="Calibri" w:hAnsi="Calibri" w:eastAsia="Calibri" w:ascii="Calibri"/>
                <w:sz w:val="18"/>
              </w:rPr>
              <w:t xml:space="preserve"> </w:t>
            </w:r>
          </w:p>
        </w:tc>
        <w:tc>
          <w:tcPr>
            <w:tcW w:w="1274"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b w:val="1"/>
                <w:sz w:val="18"/>
              </w:rPr>
              <w:t xml:space="preserve">480000</w:t>
            </w:r>
            <w:r>
              <w:rPr>
                <w:rFonts w:cs="Calibri" w:hAnsi="Calibri" w:eastAsia="Calibri" w:ascii="Calibri"/>
                <w:b w:val="1"/>
                <w:sz w:val="18"/>
              </w:rPr>
              <w:t xml:space="preserve"> </w:t>
            </w:r>
          </w:p>
        </w:tc>
      </w:tr>
      <w:tr>
        <w:trPr>
          <w:trHeight w:val="744"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left"/>
            </w:pPr>
            <w:r>
              <w:rPr>
                <w:rFonts w:cs="Arial" w:hAnsi="Arial" w:eastAsia="Arial" w:ascii="Arial"/>
                <w:b w:val="1"/>
                <w:sz w:val="16"/>
              </w:rPr>
              <w:t xml:space="preserve">Produit 3 du projet</w:t>
            </w:r>
            <w:r>
              <w:rPr>
                <w:rFonts w:cs="Arial" w:hAnsi="Arial" w:eastAsia="Arial" w:ascii="Arial"/>
                <w:i w:val="1"/>
                <w:sz w:val="16"/>
              </w:rPr>
              <w:t xml:space="preserve">: Les plans locaux de développement sont rendus</w:t>
            </w:r>
            <w:r>
              <w:rPr>
                <w:rFonts w:cs="Arial" w:hAnsi="Arial" w:eastAsia="Arial" w:ascii="Arial"/>
                <w:i w:val="1"/>
                <w:sz w:val="16"/>
              </w:rPr>
              <w:t xml:space="preserve"> </w:t>
            </w:r>
            <w:r>
              <w:rPr>
                <w:rFonts w:cs="Arial" w:hAnsi="Arial" w:eastAsia="Arial" w:ascii="Arial"/>
                <w:i w:val="1"/>
                <w:sz w:val="16"/>
              </w:rPr>
              <w:t xml:space="preserve">résilients aux changements climatiques et orientés vers une faible émission de GES </w:t>
            </w:r>
            <w:r>
              <w:rPr>
                <w:sz w:val="18"/>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10" w:firstLine="0"/>
              <w:jc w:val="right"/>
            </w:pPr>
            <w:r>
              <w:rPr>
                <w:rFonts w:cs="Calibri" w:hAnsi="Calibri" w:eastAsia="Calibri" w:ascii="Calibri"/>
                <w:sz w:val="16"/>
              </w:rPr>
              <w:t xml:space="preserve">0</w:t>
            </w:r>
            <w:r>
              <w:rPr>
                <w:rFonts w:cs="Calibri" w:hAnsi="Calibri" w:eastAsia="Calibri" w:ascii="Calibri"/>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sz w:val="16"/>
              </w:rPr>
              <w:t xml:space="preserve">230000</w:t>
            </w:r>
            <w:r>
              <w:rPr>
                <w:rFonts w:cs="Calibri" w:hAnsi="Calibri" w:eastAsia="Calibri" w:ascii="Calibri"/>
                <w:sz w:val="16"/>
              </w:rPr>
              <w:t xml:space="preserve"> </w:t>
            </w:r>
          </w:p>
        </w:tc>
        <w:tc>
          <w:tcPr>
            <w:tcW w:w="1135"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sz w:val="16"/>
              </w:rPr>
              <w:t xml:space="preserve">185000</w:t>
            </w:r>
            <w:r>
              <w:rPr>
                <w:rFonts w:cs="Calibri" w:hAnsi="Calibri" w:eastAsia="Calibri" w:ascii="Calibri"/>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sz w:val="16"/>
              </w:rPr>
              <w:t xml:space="preserve">125000</w:t>
            </w:r>
            <w:r>
              <w:rPr>
                <w:rFonts w:cs="Calibri" w:hAnsi="Calibri" w:eastAsia="Calibri" w:ascii="Calibri"/>
                <w:sz w:val="16"/>
              </w:rPr>
              <w:t xml:space="preserve"> </w:t>
            </w:r>
          </w:p>
        </w:tc>
        <w:tc>
          <w:tcPr>
            <w:tcW w:w="1136" w:type="dxa"/>
            <w:tcBorders>
              <w:top w:val="single" w:sz="4" w:color="000000"/>
              <w:left w:val="single" w:sz="4" w:color="000000"/>
              <w:bottom w:val="single" w:sz="4" w:color="000000"/>
              <w:right w:val="single" w:sz="4" w:color="000000"/>
            </w:tcBorders>
            <w:vAlign w:val="bottom"/>
          </w:tcPr>
          <w:p>
            <w:pPr>
              <w:spacing w:before="0" w:after="0" w:line="259" w:lineRule="auto"/>
              <w:ind w:left="0" w:right="110" w:firstLine="0"/>
              <w:jc w:val="right"/>
            </w:pPr>
            <w:r>
              <w:rPr>
                <w:rFonts w:cs="Calibri" w:hAnsi="Calibri" w:eastAsia="Calibri" w:ascii="Calibri"/>
                <w:sz w:val="16"/>
              </w:rPr>
              <w:t xml:space="preserve">0</w:t>
            </w:r>
            <w:r>
              <w:rPr>
                <w:rFonts w:cs="Calibri" w:hAnsi="Calibri" w:eastAsia="Calibri" w:ascii="Calibri"/>
                <w:sz w:val="16"/>
              </w:rPr>
              <w:t xml:space="preserve"> </w:t>
            </w:r>
          </w:p>
        </w:tc>
        <w:tc>
          <w:tcPr>
            <w:tcW w:w="1274" w:type="dxa"/>
            <w:tcBorders>
              <w:top w:val="single" w:sz="4" w:color="000000"/>
              <w:left w:val="single" w:sz="4" w:color="000000"/>
              <w:bottom w:val="single" w:sz="4" w:color="000000"/>
              <w:right w:val="single" w:sz="4" w:color="000000"/>
            </w:tcBorders>
            <w:vAlign w:val="bottom"/>
          </w:tcPr>
          <w:p>
            <w:pPr>
              <w:spacing w:before="0" w:after="0" w:line="259" w:lineRule="auto"/>
              <w:ind w:left="0" w:right="103" w:firstLine="0"/>
              <w:jc w:val="right"/>
            </w:pPr>
            <w:r>
              <w:rPr>
                <w:rFonts w:cs="Calibri" w:hAnsi="Calibri" w:eastAsia="Calibri" w:ascii="Calibri"/>
                <w:b w:val="1"/>
                <w:sz w:val="16"/>
              </w:rPr>
              <w:t xml:space="preserve">540000</w:t>
            </w:r>
            <w:r>
              <w:rPr>
                <w:rFonts w:cs="Calibri" w:hAnsi="Calibri" w:eastAsia="Calibri" w:ascii="Calibri"/>
                <w:b w:val="1"/>
                <w:sz w:val="16"/>
              </w:rPr>
              <w:t xml:space="preserve"> </w:t>
            </w:r>
          </w:p>
        </w:tc>
      </w:tr>
      <w:tr>
        <w:trPr>
          <w:trHeight w:val="1318"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i w:val="1"/>
                <w:sz w:val="18"/>
              </w:rPr>
              <w:t xml:space="preserve"> </w:t>
            </w:r>
          </w:p>
          <w:p>
            <w:pPr>
              <w:spacing w:before="0" w:after="38" w:line="239" w:lineRule="auto"/>
              <w:ind w:left="0" w:right="49" w:firstLine="0"/>
              <w:jc w:val="left"/>
            </w:pPr>
            <w:r>
              <w:rPr>
                <w:rFonts w:cs="Arial" w:hAnsi="Arial" w:eastAsia="Arial" w:ascii="Arial"/>
                <w:b w:val="1"/>
                <w:i w:val="1"/>
                <w:sz w:val="16"/>
              </w:rPr>
              <w:t xml:space="preserve">Produit 4.du projet:</w:t>
            </w:r>
            <w:r>
              <w:rPr>
                <w:rFonts w:cs="Arial" w:hAnsi="Arial" w:eastAsia="Arial" w:ascii="Arial"/>
                <w:i w:val="1"/>
                <w:sz w:val="16"/>
              </w:rPr>
              <w:t xml:space="preserve"> </w:t>
            </w:r>
            <w:r>
              <w:rPr>
                <w:rFonts w:cs="Arial" w:hAnsi="Arial" w:eastAsia="Arial" w:ascii="Arial"/>
                <w:i w:val="1"/>
                <w:sz w:val="16"/>
              </w:rPr>
              <w:t xml:space="preserve">Les CT et les communautés bénéficient des mécanismes de financement appropriés pour mettre en œuvre plans locaux de développement  résilients aux changements climatiques et orientés vers une faible émission de </w:t>
            </w:r>
          </w:p>
          <w:p>
            <w:pPr>
              <w:spacing w:before="0" w:after="0" w:line="259" w:lineRule="auto"/>
              <w:ind w:left="0" w:firstLine="0"/>
              <w:jc w:val="left"/>
            </w:pPr>
            <w:r>
              <w:rPr>
                <w:rFonts w:cs="Arial" w:hAnsi="Arial" w:eastAsia="Arial" w:ascii="Arial"/>
                <w:i w:val="1"/>
                <w:sz w:val="16"/>
              </w:rPr>
              <w:t xml:space="preserve">GES</w:t>
            </w:r>
            <w:r>
              <w:rPr>
                <w:sz w:val="18"/>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firstLine="0"/>
              <w:jc w:val="left"/>
            </w:pPr>
            <w:r>
              <w:rPr>
                <w:rFonts w:cs="Calibri" w:hAnsi="Calibri" w:eastAsia="Calibri" w:ascii="Calibri"/>
                <w:b w:val="1"/>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7" w:firstLine="0"/>
              <w:jc w:val="center"/>
            </w:pPr>
            <w:r>
              <w:rPr>
                <w:rFonts w:cs="Agency FB" w:hAnsi="Agency FB" w:eastAsia="Agency FB" w:ascii="Agency FB"/>
                <w:b w:val="1"/>
                <w:sz w:val="16"/>
              </w:rPr>
              <w:t xml:space="preserve">340000</w:t>
            </w:r>
            <w:r>
              <w:rPr>
                <w:rFonts w:cs="Agency FB" w:hAnsi="Agency FB" w:eastAsia="Agency FB" w:ascii="Agency FB"/>
                <w:b w:val="1"/>
                <w:sz w:val="16"/>
              </w:rPr>
              <w:t xml:space="preserve"> </w:t>
            </w:r>
          </w:p>
        </w:tc>
        <w:tc>
          <w:tcPr>
            <w:tcW w:w="1135" w:type="dxa"/>
            <w:tcBorders>
              <w:top w:val="single" w:sz="4" w:color="000000"/>
              <w:left w:val="single" w:sz="4" w:color="000000"/>
              <w:bottom w:val="single" w:sz="4" w:color="000000"/>
              <w:right w:val="single" w:sz="4" w:color="000000"/>
            </w:tcBorders>
            <w:vAlign w:val="bottom"/>
          </w:tcPr>
          <w:p>
            <w:pPr>
              <w:spacing w:before="0" w:after="0" w:line="259" w:lineRule="auto"/>
              <w:ind w:left="0" w:right="107" w:firstLine="0"/>
              <w:jc w:val="center"/>
            </w:pPr>
            <w:r>
              <w:rPr>
                <w:rFonts w:cs="Agency FB" w:hAnsi="Agency FB" w:eastAsia="Agency FB" w:ascii="Agency FB"/>
                <w:b w:val="1"/>
                <w:sz w:val="16"/>
              </w:rPr>
              <w:t xml:space="preserve">510000</w:t>
            </w:r>
            <w:r>
              <w:rPr>
                <w:rFonts w:cs="Agency FB" w:hAnsi="Agency FB" w:eastAsia="Agency FB" w:ascii="Agency FB"/>
                <w:b w:val="1"/>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7" w:firstLine="0"/>
              <w:jc w:val="center"/>
            </w:pPr>
            <w:r>
              <w:rPr>
                <w:rFonts w:cs="Agency FB" w:hAnsi="Agency FB" w:eastAsia="Agency FB" w:ascii="Agency FB"/>
                <w:b w:val="1"/>
                <w:sz w:val="16"/>
              </w:rPr>
              <w:t xml:space="preserve">310000</w:t>
            </w:r>
            <w:r>
              <w:rPr>
                <w:rFonts w:cs="Agency FB" w:hAnsi="Agency FB" w:eastAsia="Agency FB" w:ascii="Agency FB"/>
                <w:b w:val="1"/>
                <w:sz w:val="16"/>
              </w:rPr>
              <w:t xml:space="preserve"> </w:t>
            </w:r>
          </w:p>
        </w:tc>
        <w:tc>
          <w:tcPr>
            <w:tcW w:w="1136" w:type="dxa"/>
            <w:tcBorders>
              <w:top w:val="single" w:sz="4" w:color="000000"/>
              <w:left w:val="single" w:sz="4" w:color="000000"/>
              <w:bottom w:val="single" w:sz="4" w:color="000000"/>
              <w:right w:val="single" w:sz="4" w:color="000000"/>
            </w:tcBorders>
            <w:vAlign w:val="bottom"/>
          </w:tcPr>
          <w:p>
            <w:pPr>
              <w:spacing w:before="0" w:after="0" w:line="259" w:lineRule="auto"/>
              <w:ind w:left="0" w:right="104" w:firstLine="0"/>
              <w:jc w:val="center"/>
            </w:pPr>
            <w:r>
              <w:rPr>
                <w:rFonts w:cs="Agency FB" w:hAnsi="Agency FB" w:eastAsia="Agency FB" w:ascii="Agency FB"/>
                <w:b w:val="1"/>
                <w:sz w:val="16"/>
              </w:rPr>
              <w:t xml:space="preserve">240000</w:t>
            </w:r>
            <w:r>
              <w:rPr>
                <w:rFonts w:cs="Agency FB" w:hAnsi="Agency FB" w:eastAsia="Agency FB" w:ascii="Agency FB"/>
                <w:b w:val="1"/>
                <w:sz w:val="16"/>
              </w:rPr>
              <w:t xml:space="preserve"> </w:t>
            </w:r>
          </w:p>
        </w:tc>
        <w:tc>
          <w:tcPr>
            <w:tcW w:w="1274" w:type="dxa"/>
            <w:tcBorders>
              <w:top w:val="single" w:sz="4" w:color="000000"/>
              <w:left w:val="single" w:sz="4" w:color="000000"/>
              <w:bottom w:val="single" w:sz="4" w:color="000000"/>
              <w:right w:val="single" w:sz="4" w:color="000000"/>
            </w:tcBorders>
            <w:vAlign w:val="bottom"/>
          </w:tcPr>
          <w:p>
            <w:pPr>
              <w:spacing w:before="0" w:after="0" w:line="259" w:lineRule="auto"/>
              <w:ind w:left="0" w:right="102" w:firstLine="0"/>
              <w:jc w:val="center"/>
            </w:pPr>
            <w:r>
              <w:rPr>
                <w:rFonts w:cs="Agency FB" w:hAnsi="Agency FB" w:eastAsia="Agency FB" w:ascii="Agency FB"/>
                <w:b w:val="1"/>
                <w:sz w:val="16"/>
              </w:rPr>
              <w:t xml:space="preserve">1400000</w:t>
            </w:r>
            <w:r>
              <w:rPr>
                <w:rFonts w:cs="Agency FB" w:hAnsi="Agency FB" w:eastAsia="Agency FB" w:ascii="Agency FB"/>
                <w:b w:val="1"/>
                <w:sz w:val="16"/>
              </w:rPr>
              <w:t xml:space="preserve"> </w:t>
            </w:r>
          </w:p>
        </w:tc>
      </w:tr>
      <w:tr>
        <w:trPr>
          <w:trHeight w:val="816"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i w:val="1"/>
                <w:sz w:val="20"/>
              </w:rPr>
              <w:t xml:space="preserve">Gestion du projet</w:t>
            </w:r>
            <w:r>
              <w:rPr>
                <w:rFonts w:cs="Times New Roman" w:hAnsi="Times New Roman" w:eastAsia="Times New Roman" w:ascii="Times New Roman"/>
                <w:b w:val="1"/>
                <w:i w:val="1"/>
                <w:sz w:val="20"/>
              </w:rPr>
              <w:t xml:space="preserve"> </w:t>
            </w:r>
          </w:p>
          <w:p>
            <w:pPr>
              <w:spacing w:before="0" w:after="19" w:line="240" w:lineRule="auto"/>
              <w:ind w:left="0" w:firstLine="0"/>
              <w:jc w:val="left"/>
            </w:pPr>
            <w:r>
              <w:rPr>
                <w:rFonts w:cs="Arial" w:hAnsi="Arial" w:eastAsia="Arial" w:ascii="Arial"/>
                <w:i w:val="1"/>
                <w:sz w:val="16"/>
              </w:rPr>
              <w:t xml:space="preserve">La gestion du projet est axée sur les résultats de développement et efficace</w:t>
            </w:r>
            <w:r>
              <w:rPr>
                <w:rFonts w:cs="Arial" w:hAnsi="Arial" w:eastAsia="Arial" w:ascii="Arial"/>
                <w:i w:val="1"/>
                <w:sz w:val="16"/>
              </w:rPr>
              <w:t xml:space="preserve"> </w:t>
            </w:r>
          </w:p>
          <w:p>
            <w:pPr>
              <w:spacing w:before="0" w:after="0" w:line="259" w:lineRule="auto"/>
              <w:ind w:left="0" w:firstLine="0"/>
              <w:jc w:val="left"/>
            </w:pPr>
            <w:r>
              <w:rPr>
                <w:rFonts w:cs="Times New Roman" w:hAnsi="Times New Roman" w:eastAsia="Times New Roman" w:ascii="Times New Roman"/>
                <w:b w:val="1"/>
                <w:i w:val="1"/>
                <w:sz w:val="18"/>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b w:val="1"/>
                <w:sz w:val="16"/>
              </w:rPr>
              <w:t xml:space="preserve">131500</w:t>
            </w:r>
            <w:r>
              <w:rPr>
                <w:rFonts w:cs="Calibri" w:hAnsi="Calibri" w:eastAsia="Calibri" w:ascii="Calibri"/>
                <w:b w:val="1"/>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b w:val="1"/>
                <w:sz w:val="16"/>
              </w:rPr>
              <w:t xml:space="preserve">209500</w:t>
            </w:r>
            <w:r>
              <w:rPr>
                <w:rFonts w:cs="Calibri" w:hAnsi="Calibri" w:eastAsia="Calibri" w:ascii="Calibri"/>
                <w:b w:val="1"/>
                <w:sz w:val="16"/>
              </w:rPr>
              <w:t xml:space="preserve"> </w:t>
            </w:r>
          </w:p>
        </w:tc>
        <w:tc>
          <w:tcPr>
            <w:tcW w:w="1135"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b w:val="1"/>
                <w:sz w:val="16"/>
              </w:rPr>
              <w:t xml:space="preserve">205800</w:t>
            </w:r>
            <w:r>
              <w:rPr>
                <w:rFonts w:cs="Calibri" w:hAnsi="Calibri" w:eastAsia="Calibri" w:ascii="Calibri"/>
                <w:b w:val="1"/>
                <w:sz w:val="16"/>
              </w:rPr>
              <w:t xml:space="preserve"> </w:t>
            </w:r>
          </w:p>
        </w:tc>
        <w:tc>
          <w:tcPr>
            <w:tcW w:w="1133" w:type="dxa"/>
            <w:tcBorders>
              <w:top w:val="single" w:sz="4" w:color="000000"/>
              <w:left w:val="single" w:sz="4" w:color="000000"/>
              <w:bottom w:val="single" w:sz="4" w:color="000000"/>
              <w:right w:val="single" w:sz="4" w:color="000000"/>
            </w:tcBorders>
            <w:vAlign w:val="bottom"/>
          </w:tcPr>
          <w:p>
            <w:pPr>
              <w:spacing w:before="0" w:after="0" w:line="259" w:lineRule="auto"/>
              <w:ind w:left="0" w:right="106" w:firstLine="0"/>
              <w:jc w:val="right"/>
            </w:pPr>
            <w:r>
              <w:rPr>
                <w:rFonts w:cs="Calibri" w:hAnsi="Calibri" w:eastAsia="Calibri" w:ascii="Calibri"/>
                <w:b w:val="1"/>
                <w:sz w:val="16"/>
              </w:rPr>
              <w:t xml:space="preserve">201400</w:t>
            </w:r>
            <w:r>
              <w:rPr>
                <w:rFonts w:cs="Calibri" w:hAnsi="Calibri" w:eastAsia="Calibri" w:ascii="Calibri"/>
                <w:b w:val="1"/>
                <w:sz w:val="16"/>
              </w:rPr>
              <w:t xml:space="preserve"> </w:t>
            </w:r>
          </w:p>
        </w:tc>
        <w:tc>
          <w:tcPr>
            <w:tcW w:w="1136" w:type="dxa"/>
            <w:tcBorders>
              <w:top w:val="single" w:sz="4" w:color="000000"/>
              <w:left w:val="single" w:sz="4" w:color="000000"/>
              <w:bottom w:val="single" w:sz="4" w:color="000000"/>
              <w:right w:val="single" w:sz="4" w:color="000000"/>
            </w:tcBorders>
            <w:vAlign w:val="bottom"/>
          </w:tcPr>
          <w:p>
            <w:pPr>
              <w:spacing w:before="0" w:after="0" w:line="259" w:lineRule="auto"/>
              <w:ind w:left="0" w:right="108" w:firstLine="0"/>
              <w:jc w:val="right"/>
            </w:pPr>
            <w:r>
              <w:rPr>
                <w:rFonts w:cs="Calibri" w:hAnsi="Calibri" w:eastAsia="Calibri" w:ascii="Calibri"/>
                <w:b w:val="1"/>
                <w:sz w:val="16"/>
              </w:rPr>
              <w:t xml:space="preserve">211800</w:t>
            </w:r>
            <w:r>
              <w:rPr>
                <w:rFonts w:cs="Calibri" w:hAnsi="Calibri" w:eastAsia="Calibri" w:ascii="Calibri"/>
                <w:b w:val="1"/>
                <w:sz w:val="16"/>
              </w:rPr>
              <w:t xml:space="preserve"> </w:t>
            </w:r>
          </w:p>
        </w:tc>
        <w:tc>
          <w:tcPr>
            <w:tcW w:w="1274" w:type="dxa"/>
            <w:tcBorders>
              <w:top w:val="single" w:sz="4" w:color="000000"/>
              <w:left w:val="single" w:sz="4" w:color="000000"/>
              <w:bottom w:val="single" w:sz="4" w:color="000000"/>
              <w:right w:val="single" w:sz="4" w:color="000000"/>
            </w:tcBorders>
            <w:vAlign w:val="bottom"/>
          </w:tcPr>
          <w:p>
            <w:pPr>
              <w:spacing w:before="0" w:after="0" w:line="259" w:lineRule="auto"/>
              <w:ind w:left="0" w:right="103" w:firstLine="0"/>
              <w:jc w:val="right"/>
            </w:pPr>
            <w:r>
              <w:rPr>
                <w:rFonts w:cs="Calibri" w:hAnsi="Calibri" w:eastAsia="Calibri" w:ascii="Calibri"/>
                <w:b w:val="1"/>
                <w:sz w:val="16"/>
              </w:rPr>
              <w:t xml:space="preserve">960000</w:t>
            </w:r>
            <w:r>
              <w:rPr>
                <w:rFonts w:cs="Calibri" w:hAnsi="Calibri" w:eastAsia="Calibri" w:ascii="Calibri"/>
                <w:b w:val="1"/>
                <w:sz w:val="16"/>
              </w:rPr>
              <w:t xml:space="preserve"> </w:t>
            </w:r>
          </w:p>
        </w:tc>
      </w:tr>
      <w:tr>
        <w:trPr>
          <w:trHeight w:val="215" w:hRule="atLeast"/>
        </w:trPr>
        <w:tc>
          <w:tcPr>
            <w:tcW w:w="340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i w:val="1"/>
                <w:sz w:val="18"/>
              </w:rPr>
              <w:t xml:space="preserve">TOTAUX</w:t>
            </w:r>
            <w:r>
              <w:rPr>
                <w:rFonts w:cs="Times New Roman" w:hAnsi="Times New Roman" w:eastAsia="Times New Roman" w:ascii="Times New Roman"/>
                <w:b w:val="1"/>
                <w:i w:val="1"/>
                <w:sz w:val="18"/>
              </w:rPr>
              <w:t xml:space="preserve"> </w:t>
            </w:r>
          </w:p>
        </w:tc>
        <w:tc>
          <w:tcPr>
            <w:tcW w:w="1133" w:type="dxa"/>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214" w:firstLine="0"/>
              <w:jc w:val="center"/>
            </w:pPr>
            <w:r>
              <w:rPr>
                <w:rFonts w:cs="Calibri" w:hAnsi="Calibri" w:eastAsia="Calibri" w:ascii="Calibri"/>
                <w:b w:val="1"/>
                <w:sz w:val="16"/>
              </w:rPr>
              <w:t xml:space="preserve">        </w:t>
            </w:r>
            <w:r>
              <w:rPr>
                <w:rFonts w:cs="Calibri" w:hAnsi="Calibri" w:eastAsia="Calibri" w:ascii="Calibri"/>
                <w:b w:val="1"/>
                <w:sz w:val="16"/>
              </w:rPr>
              <w:t xml:space="preserve">131 500   </w:t>
            </w:r>
            <w:r>
              <w:rPr>
                <w:rFonts w:cs="Calibri" w:hAnsi="Calibri" w:eastAsia="Calibri" w:ascii="Calibri"/>
                <w:b w:val="1"/>
                <w:sz w:val="16"/>
              </w:rPr>
              <w:t xml:space="preserve"> </w:t>
            </w:r>
          </w:p>
        </w:tc>
        <w:tc>
          <w:tcPr>
            <w:tcW w:w="1133" w:type="dxa"/>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130" w:firstLine="0"/>
              <w:jc w:val="right"/>
            </w:pPr>
            <w:r>
              <w:rPr>
                <w:rFonts w:cs="Calibri" w:hAnsi="Calibri" w:eastAsia="Calibri" w:ascii="Calibri"/>
                <w:b w:val="1"/>
                <w:sz w:val="16"/>
              </w:rPr>
              <w:t xml:space="preserve">       </w:t>
            </w:r>
            <w:r>
              <w:rPr>
                <w:rFonts w:cs="Calibri" w:hAnsi="Calibri" w:eastAsia="Calibri" w:ascii="Calibri"/>
                <w:b w:val="1"/>
                <w:sz w:val="16"/>
              </w:rPr>
              <w:t xml:space="preserve">1 284 500   </w:t>
            </w:r>
            <w:r>
              <w:rPr>
                <w:rFonts w:cs="Calibri" w:hAnsi="Calibri" w:eastAsia="Calibri" w:ascii="Calibri"/>
                <w:b w:val="1"/>
                <w:sz w:val="16"/>
              </w:rPr>
              <w:t xml:space="preserve"> </w:t>
            </w:r>
          </w:p>
        </w:tc>
        <w:tc>
          <w:tcPr>
            <w:tcW w:w="1135" w:type="dxa"/>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132" w:firstLine="0"/>
              <w:jc w:val="right"/>
            </w:pPr>
            <w:r>
              <w:rPr>
                <w:rFonts w:cs="Calibri" w:hAnsi="Calibri" w:eastAsia="Calibri" w:ascii="Calibri"/>
                <w:b w:val="1"/>
                <w:sz w:val="16"/>
              </w:rPr>
              <w:t xml:space="preserve">       </w:t>
            </w:r>
            <w:r>
              <w:rPr>
                <w:rFonts w:cs="Calibri" w:hAnsi="Calibri" w:eastAsia="Calibri" w:ascii="Calibri"/>
                <w:b w:val="1"/>
                <w:sz w:val="16"/>
              </w:rPr>
              <w:t xml:space="preserve">1 275 800   </w:t>
            </w:r>
            <w:r>
              <w:rPr>
                <w:rFonts w:cs="Calibri" w:hAnsi="Calibri" w:eastAsia="Calibri" w:ascii="Calibri"/>
                <w:b w:val="1"/>
                <w:sz w:val="16"/>
              </w:rPr>
              <w:t xml:space="preserve"> </w:t>
            </w:r>
          </w:p>
        </w:tc>
        <w:tc>
          <w:tcPr>
            <w:tcW w:w="1133" w:type="dxa"/>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139" w:firstLine="0"/>
              <w:jc w:val="right"/>
            </w:pPr>
            <w:r>
              <w:rPr>
                <w:rFonts w:cs="Calibri" w:hAnsi="Calibri" w:eastAsia="Calibri" w:ascii="Calibri"/>
                <w:b w:val="1"/>
                <w:sz w:val="16"/>
              </w:rPr>
              <w:t xml:space="preserve">          </w:t>
            </w:r>
            <w:r>
              <w:rPr>
                <w:rFonts w:cs="Calibri" w:hAnsi="Calibri" w:eastAsia="Calibri" w:ascii="Calibri"/>
                <w:b w:val="1"/>
                <w:sz w:val="16"/>
              </w:rPr>
              <w:t xml:space="preserve">796 400   </w:t>
            </w:r>
            <w:r>
              <w:rPr>
                <w:rFonts w:cs="Calibri" w:hAnsi="Calibri" w:eastAsia="Calibri" w:ascii="Calibri"/>
                <w:b w:val="1"/>
                <w:sz w:val="16"/>
              </w:rPr>
              <w:t xml:space="preserve"> </w:t>
            </w:r>
          </w:p>
        </w:tc>
        <w:tc>
          <w:tcPr>
            <w:tcW w:w="1136" w:type="dxa"/>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0" w:right="142" w:firstLine="0"/>
              <w:jc w:val="right"/>
            </w:pPr>
            <w:r>
              <w:rPr>
                <w:rFonts w:cs="Calibri" w:hAnsi="Calibri" w:eastAsia="Calibri" w:ascii="Calibri"/>
                <w:b w:val="1"/>
                <w:sz w:val="16"/>
              </w:rPr>
              <w:t xml:space="preserve">          </w:t>
            </w:r>
            <w:r>
              <w:rPr>
                <w:rFonts w:cs="Calibri" w:hAnsi="Calibri" w:eastAsia="Calibri" w:ascii="Calibri"/>
                <w:b w:val="1"/>
                <w:sz w:val="16"/>
              </w:rPr>
              <w:t xml:space="preserve">511 800   </w:t>
            </w:r>
            <w:r>
              <w:rPr>
                <w:rFonts w:cs="Calibri" w:hAnsi="Calibri" w:eastAsia="Calibri" w:ascii="Calibri"/>
                <w:b w:val="1"/>
                <w:sz w:val="16"/>
              </w:rPr>
              <w:t xml:space="preserve"> </w:t>
            </w:r>
          </w:p>
        </w:tc>
        <w:tc>
          <w:tcPr>
            <w:tcW w:w="1274" w:type="dxa"/>
            <w:tcBorders>
              <w:top w:val="single" w:sz="4" w:color="000000"/>
              <w:left w:val="single" w:sz="4" w:color="000000"/>
              <w:bottom w:val="single" w:sz="4" w:color="000000"/>
              <w:right w:val="single" w:sz="4" w:color="000000"/>
            </w:tcBorders>
            <w:shd w:val="clear" w:fill="fbd4b4"/>
            <w:vAlign w:val="top"/>
          </w:tcPr>
          <w:p>
            <w:pPr>
              <w:spacing w:before="0" w:after="0" w:line="259" w:lineRule="auto"/>
              <w:ind w:left="2" w:firstLine="0"/>
              <w:jc w:val="left"/>
            </w:pPr>
            <w:r>
              <w:rPr>
                <w:rFonts w:cs="Calibri" w:hAnsi="Calibri" w:eastAsia="Calibri" w:ascii="Calibri"/>
                <w:b w:val="1"/>
                <w:sz w:val="16"/>
              </w:rPr>
              <w:t xml:space="preserve">    </w:t>
            </w:r>
            <w:r>
              <w:rPr>
                <w:rFonts w:cs="Calibri" w:hAnsi="Calibri" w:eastAsia="Calibri" w:ascii="Calibri"/>
                <w:b w:val="1"/>
                <w:sz w:val="16"/>
              </w:rPr>
              <w:t xml:space="preserve">4 000 000   </w:t>
            </w:r>
            <w:r>
              <w:rPr>
                <w:rFonts w:cs="Calibri" w:hAnsi="Calibri" w:eastAsia="Calibri" w:ascii="Calibri"/>
                <w:b w:val="1"/>
                <w:sz w:val="16"/>
              </w:rPr>
              <w:t xml:space="preserve"> </w:t>
            </w:r>
          </w:p>
        </w:tc>
      </w:tr>
    </w:tbl>
    <w:p>
      <w:pPr>
        <w:spacing w:before="0" w:after="0" w:line="259" w:lineRule="auto"/>
        <w:ind w:left="0" w:firstLine="0"/>
        <w:jc w:val="left"/>
      </w:pPr>
      <w:r>
        <w:rPr>
          <w:sz w:val="24"/>
        </w:rPr>
        <w:t xml:space="preserve"> </w:t>
      </w:r>
    </w:p>
    <w:p>
      <w:pPr>
        <w:spacing w:before="0" w:after="0" w:line="259" w:lineRule="auto"/>
        <w:ind w:left="0" w:firstLine="0"/>
        <w:jc w:val="left"/>
      </w:pPr>
      <w:r>
        <w:rPr>
          <w:sz w:val="24"/>
        </w:rPr>
        <w:t xml:space="preserve"> </w:t>
      </w:r>
    </w:p>
    <w:p>
      <w:pPr>
        <w:spacing w:before="0" w:after="19" w:line="259" w:lineRule="auto"/>
        <w:ind w:left="0" w:firstLine="0"/>
        <w:jc w:val="left"/>
      </w:pPr>
      <w:r>
        <w:rPr>
          <w:sz w:val="24"/>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5173" w:line="259" w:lineRule="auto"/>
        <w:ind w:left="0" w:firstLine="0"/>
        <w:jc w:val="left"/>
      </w:pPr>
      <w:r>
        <w:rPr>
          <w:rFonts w:cs="Times New Roman" w:hAnsi="Times New Roman" w:eastAsia="Times New Roman" w:ascii="Times New Roman"/>
          <w:b w:val="1"/>
          <w:sz w:val="28"/>
        </w:rPr>
        <w:t xml:space="preserve"> 	 </w:t>
      </w:r>
    </w:p>
    <w:p>
      <w:pPr>
        <w:spacing w:before="0" w:after="3" w:line="259" w:lineRule="auto"/>
        <w:ind w:left="331" w:right="926"/>
        <w:jc w:val="center"/>
      </w:pPr>
      <w:r>
        <w:rPr>
          <w:sz w:val="20"/>
        </w:rPr>
        <w:t xml:space="preserve">Page </w:t>
      </w:r>
      <w:r>
        <w:rPr>
          <w:rFonts w:cs="Times New Roman" w:hAnsi="Times New Roman" w:eastAsia="Times New Roman" w:ascii="Times New Roman"/>
          <w:b w:val="1"/>
          <w:sz w:val="20"/>
        </w:rPr>
        <w:t xml:space="preserve">46</w:t>
      </w:r>
      <w:r>
        <w:rPr>
          <w:sz w:val="20"/>
        </w:rPr>
        <w:t xml:space="preserve"> </w:t>
      </w:r>
      <w:r>
        <w:rPr>
          <w:sz w:val="20"/>
        </w:rPr>
        <w:t xml:space="preserve">sur </w:t>
      </w:r>
      <w:r>
        <w:rPr>
          <w:sz w:val="20"/>
        </w:rPr>
        <w:t xml:space="preserve">60</w:t>
      </w:r>
      <w:r>
        <w:rPr>
          <w:sz w:val="24"/>
        </w:rPr>
        <w:t xml:space="preserve"> </w:t>
      </w:r>
    </w:p>
    <w:p>
      <w:pPr>
        <w:spacing w:before="0" w:after="0" w:line="259" w:lineRule="auto"/>
        <w:ind w:left="0" w:firstLine="0"/>
        <w:jc w:val="left"/>
      </w:pPr>
      <w:r>
        <w:rPr>
          <w:sz w:val="24"/>
        </w:rPr>
        <w:t xml:space="preserve"> </w:t>
      </w:r>
    </w:p>
    <w:p>
      <w:pPr>
        <w:spacing w:before="0" w:after="103" w:line="259" w:lineRule="auto"/>
        <w:ind w:left="0" w:firstLine="0"/>
        <w:jc w:val="right"/>
      </w:pPr>
      <w:r>
        <w:rPr>
          <w:sz w:val="40"/>
        </w:rPr>
        <w:t xml:space="preserve"> </w:t>
      </w:r>
    </w:p>
    <w:p>
      <w:pPr>
        <w:pStyle w:val="normal"/>
        <w:tabs>
          <w:tab w:val="center" w:pos="2255"/>
          <w:tab w:val="right" w:pos="10360"/>
        </w:tabs>
        <w:spacing w:before="0" w:after="5" w:line="247" w:lineRule="auto"/>
        <w:ind w:left="0" w:firstLine="0"/>
        <w:jc w:val="left"/>
      </w:pPr>
      <w:r>
        <w:rPr/>
        <w:t xml:space="preserve">Document provisoir</w:t>
      </w:r>
      <w:r>
        <w:rPr>
          <w:sz w:val="2"/>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p>
      <w:pPr>
        <w:spacing w:before="0" w:after="0" w:line="422" w:lineRule="auto"/>
        <w:ind w:left="0" w:right="1029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1" w:line="259" w:lineRule="auto"/>
        <w:ind w:left="0" w:firstLine="0"/>
        <w:jc w:val="left"/>
      </w:pPr>
      <w:r>
        <w:rPr>
          <w:rFonts w:cs="Times New Roman" w:hAnsi="Times New Roman" w:eastAsia="Times New Roman" w:ascii="Times New Roman"/>
          <w:b w:val="1"/>
          <w:sz w:val="28"/>
        </w:rPr>
        <w:t xml:space="preserve"> </w:t>
      </w:r>
    </w:p>
    <w:p>
      <w:pPr>
        <w:pStyle w:val="heading2"/>
        <w:pBdr>
          <w:top w:val="single" w:color="000000" w:sz="4"/>
          <w:left w:val="single" w:color="000000" w:sz="4"/>
          <w:bottom w:val="single" w:color="000000" w:sz="4"/>
          <w:right w:val="single" w:color="000000" w:sz="4"/>
        </w:pBdr>
        <w:spacing w:before="0" w:after="0" w:line="259" w:lineRule="auto"/>
        <w:ind w:left="0" w:right="611" w:firstLine="0"/>
        <w:jc w:val="center"/>
      </w:pPr>
      <w:r>
        <w:rPr/>
        <w:t xml:space="preserve">ANNEXES</w:t>
      </w:r>
      <w:r>
        <w:rPr/>
        <w:t xml:space="preserve"> </w:t>
      </w:r>
    </w:p>
    <w:p>
      <w:pPr>
        <w:spacing w:before="0" w:after="7048" w:line="259" w:lineRule="auto"/>
        <w:ind w:left="0" w:right="549" w:firstLine="0"/>
        <w:jc w:val="center"/>
      </w:pPr>
      <w:r>
        <w:rPr>
          <w:rFonts w:cs="Times New Roman" w:hAnsi="Times New Roman" w:eastAsia="Times New Roman" w:ascii="Times New Roman"/>
          <w:b w:val="1"/>
          <w:sz w:val="24"/>
        </w:rPr>
        <w:t xml:space="preserve"> </w:t>
      </w:r>
    </w:p>
    <w:p>
      <w:pPr>
        <w:spacing w:before="0" w:after="3" w:line="259" w:lineRule="auto"/>
        <w:ind w:left="331" w:right="926"/>
        <w:jc w:val="center"/>
      </w:pPr>
      <w:r>
        <w:rPr>
          <w:sz w:val="20"/>
        </w:rPr>
        <w:t xml:space="preserve">Page </w:t>
      </w:r>
      <w:r>
        <w:rPr>
          <w:rFonts w:cs="Times New Roman" w:hAnsi="Times New Roman" w:eastAsia="Times New Roman" w:ascii="Times New Roman"/>
          <w:b w:val="1"/>
          <w:sz w:val="20"/>
        </w:rPr>
        <w:t xml:space="preserve">47</w:t>
      </w:r>
      <w:r>
        <w:rPr>
          <w:sz w:val="20"/>
        </w:rPr>
        <w:t xml:space="preserve"> </w:t>
      </w:r>
      <w:r>
        <w:rPr>
          <w:sz w:val="20"/>
        </w:rPr>
        <w:t xml:space="preserve">sur </w:t>
      </w:r>
      <w:r>
        <w:rPr>
          <w:sz w:val="20"/>
        </w:rPr>
        <w:t xml:space="preserve">60</w:t>
      </w:r>
      <w:r>
        <w:rPr>
          <w:sz w:val="24"/>
        </w:rPr>
        <w:t xml:space="preserve"> </w:t>
      </w:r>
    </w:p>
    <w:p>
      <w:pPr>
        <w:spacing w:before="0" w:after="0" w:line="259" w:lineRule="auto"/>
        <w:ind w:left="0" w:firstLine="0"/>
        <w:jc w:val="left"/>
      </w:pPr>
      <w:r>
        <w:rPr>
          <w:sz w:val="24"/>
        </w:rPr>
        <w:t xml:space="preserve"> </w:t>
      </w:r>
    </w:p>
    <w:p>
      <w:pPr>
        <w:sectPr>
          <w:headerReference w:type="even" r:id="rId35"/>
          <w:headerReference w:type="default" r:id="rId33"/>
          <w:headerReference w:type="first" r:id="rId31"/>
          <w:footerReference w:type="even" r:id="rId36"/>
          <w:footerReference w:type="default" r:id="rId34"/>
          <w:footerReference w:type="first" r:id="rId32"/>
          <w:pgSz w:w="11906" w:h="16838" w:orient="portrait"/>
          <w:pgMar w:footer="4932" w:left="1078" w:top="718" w:right="469" w:bottom="717"/>
          <w:cols/>
        </w:sectPr>
      </w:pPr>
    </w:p>
    <w:p>
      <w:pPr>
        <w:pStyle w:val="heading3"/>
        <w:spacing w:before="0" w:after="10" w:line="249" w:lineRule="auto"/>
        <w:ind w:left="-5"/>
      </w:pPr>
      <w:r>
        <w:rPr/>
        <w:t xml:space="preserve">Annexe 1: Diagramme des résultats du projet</w:t>
      </w:r>
      <w:r>
        <w:rPr>
          <w:sz w:val="28"/>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spacing w:before="0" w:after="27" w:line="259" w:lineRule="auto"/>
        <w:ind w:left="0" w:right="-477" w:firstLine="0"/>
        <w:jc w:val="left"/>
      </w:pPr>
      <w:r>
        <w:rPr>
          <w:rFonts w:cs="Calibri" w:hAnsi="Calibri" w:eastAsia="Calibri" w:ascii="Calibri"/>
          <w:sz w:val="22"/>
        </w:rPr>
        <w:drawing>
          <wp:inline distT="0" distB="0" distL="0" distR="0">
            <wp:extent cx="8902954" cy="3526943"/>
            <wp:docPr id="160543" name="Group 160543"/>
            <wp:cNvGraphicFramePr/>
            <a:graphic>
              <a:graphicData uri="http://schemas.microsoft.com/office/word/2010/wordprocessingGroup">
                <wpg:wgp>
                  <wpg:cNvGrpSpPr/>
                  <wpg:grpSpPr>
                    <a:xfrm>
                      <a:off x="0" y="0"/>
                      <a:ext cx="8902954" cy="3526943"/>
                      <a:chOff x="0" y="0"/>
                      <a:chExt cx="8902954" cy="3526943"/>
                    </a:xfrm>
                  </wpg:grpSpPr>
                  <wps:wsp>
                    <wps:cNvPr id="37274" name="Rectangle 37274"/>
                    <wps:cNvSpPr/>
                    <wps:spPr>
                      <a:xfrm>
                        <a:off x="0" y="30709"/>
                        <a:ext cx="50673" cy="224380"/>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wps:txbx>
                    <wps:bodyPr horzOverflow="overflow" rtlCol="0" vert="horz" lIns="0" tIns="0" rIns="0" bIns="0">
                      <a:noAutofit/>
                    </wps:bodyPr>
                  </wps:wsp>
                  <wps:wsp>
                    <wps:cNvPr id="37275" name="Rectangle 37275"/>
                    <wps:cNvSpPr/>
                    <wps:spPr>
                      <a:xfrm>
                        <a:off x="0" y="205969"/>
                        <a:ext cx="50673" cy="224380"/>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wps:txbx>
                    <wps:bodyPr horzOverflow="overflow" rtlCol="0" vert="horz" lIns="0" tIns="0" rIns="0" bIns="0">
                      <a:noAutofit/>
                    </wps:bodyPr>
                  </wps:wsp>
                  <wps:wsp>
                    <wps:cNvPr id="37276" name="Rectangle 37276"/>
                    <wps:cNvSpPr/>
                    <wps:spPr>
                      <a:xfrm>
                        <a:off x="0" y="37818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77" name="Rectangle 37277"/>
                    <wps:cNvSpPr/>
                    <wps:spPr>
                      <a:xfrm>
                        <a:off x="0" y="55344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78" name="Rectangle 37278"/>
                    <wps:cNvSpPr/>
                    <wps:spPr>
                      <a:xfrm>
                        <a:off x="0" y="72870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79" name="Rectangle 37279"/>
                    <wps:cNvSpPr/>
                    <wps:spPr>
                      <a:xfrm>
                        <a:off x="0" y="90396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0" name="Rectangle 37280"/>
                    <wps:cNvSpPr/>
                    <wps:spPr>
                      <a:xfrm>
                        <a:off x="0" y="107960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1" name="Rectangle 37281"/>
                    <wps:cNvSpPr/>
                    <wps:spPr>
                      <a:xfrm>
                        <a:off x="0" y="125486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2" name="Rectangle 37282"/>
                    <wps:cNvSpPr/>
                    <wps:spPr>
                      <a:xfrm>
                        <a:off x="0" y="143012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3" name="Rectangle 37283"/>
                    <wps:cNvSpPr/>
                    <wps:spPr>
                      <a:xfrm>
                        <a:off x="0" y="160538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4" name="Rectangle 37284"/>
                    <wps:cNvSpPr/>
                    <wps:spPr>
                      <a:xfrm>
                        <a:off x="0" y="178064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5" name="Rectangle 37285"/>
                    <wps:cNvSpPr/>
                    <wps:spPr>
                      <a:xfrm>
                        <a:off x="0" y="195590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6" name="Rectangle 37286"/>
                    <wps:cNvSpPr/>
                    <wps:spPr>
                      <a:xfrm>
                        <a:off x="0" y="213116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7" name="Rectangle 37287"/>
                    <wps:cNvSpPr/>
                    <wps:spPr>
                      <a:xfrm>
                        <a:off x="0" y="230642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8" name="Rectangle 37288"/>
                    <wps:cNvSpPr/>
                    <wps:spPr>
                      <a:xfrm>
                        <a:off x="2504186" y="230642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89" name="Rectangle 37289"/>
                    <wps:cNvSpPr/>
                    <wps:spPr>
                      <a:xfrm>
                        <a:off x="0" y="248168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90" name="Rectangle 37290"/>
                    <wps:cNvSpPr/>
                    <wps:spPr>
                      <a:xfrm>
                        <a:off x="0" y="265719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91" name="Rectangle 37291"/>
                    <wps:cNvSpPr/>
                    <wps:spPr>
                      <a:xfrm>
                        <a:off x="0" y="2832456"/>
                        <a:ext cx="50673" cy="224379"/>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92" name="Rectangle 37292"/>
                    <wps:cNvSpPr/>
                    <wps:spPr>
                      <a:xfrm>
                        <a:off x="0" y="300771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93" name="Rectangle 37293"/>
                    <wps:cNvSpPr/>
                    <wps:spPr>
                      <a:xfrm>
                        <a:off x="8864854" y="318297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294" name="Rectangle 37294"/>
                    <wps:cNvSpPr/>
                    <wps:spPr>
                      <a:xfrm>
                        <a:off x="0" y="3358236"/>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300" name="Shape 37300"/>
                    <wps:cNvSpPr/>
                    <wps:spPr>
                      <a:xfrm>
                        <a:off x="5305425" y="1063625"/>
                        <a:ext cx="2864485" cy="934085"/>
                      </a:xfrm>
                      <a:custGeom>
                        <a:pathLst>
                          <a:path w="2864485" h="934085">
                            <a:moveTo>
                              <a:pt x="155702" y="0"/>
                            </a:moveTo>
                            <a:cubicBezTo>
                              <a:pt x="69723" y="0"/>
                              <a:pt x="0" y="69723"/>
                              <a:pt x="0" y="155702"/>
                            </a:cubicBezTo>
                            <a:lnTo>
                              <a:pt x="0" y="778383"/>
                            </a:lnTo>
                            <a:cubicBezTo>
                              <a:pt x="0" y="864362"/>
                              <a:pt x="69723" y="934085"/>
                              <a:pt x="155702" y="934085"/>
                            </a:cubicBezTo>
                            <a:lnTo>
                              <a:pt x="2708783" y="934085"/>
                            </a:lnTo>
                            <a:cubicBezTo>
                              <a:pt x="2794762" y="934085"/>
                              <a:pt x="2864485" y="864362"/>
                              <a:pt x="2864485" y="778383"/>
                            </a:cubicBezTo>
                            <a:lnTo>
                              <a:pt x="2864485" y="155702"/>
                            </a:lnTo>
                            <a:cubicBezTo>
                              <a:pt x="2864485" y="69723"/>
                              <a:pt x="2794762" y="0"/>
                              <a:pt x="2708783" y="0"/>
                            </a:cubicBezTo>
                            <a:close/>
                          </a:path>
                        </a:pathLst>
                      </a:custGeom>
                      <a:ln w="31750" cap="rnd">
                        <a:round/>
                      </a:ln>
                    </wps:spPr>
                    <wps:style>
                      <a:lnRef idx="1">
                        <a:srgbClr val="000000"/>
                      </a:lnRef>
                      <a:fillRef idx="0">
                        <a:srgbClr val="000000">
                          <a:alpha val="0"/>
                        </a:srgbClr>
                      </a:fillRef>
                      <a:effectRef idx="0"/>
                      <a:fontRef idx="none"/>
                    </wps:style>
                    <wps:bodyPr/>
                  </wps:wsp>
                  <wps:wsp>
                    <wps:cNvPr id="37301" name="Rectangle 37301"/>
                    <wps:cNvSpPr/>
                    <wps:spPr>
                      <a:xfrm>
                        <a:off x="6284341" y="1171266"/>
                        <a:ext cx="679162"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Produit 2</w:t>
                          </w:r>
                        </w:p>
                      </w:txbxContent>
                    </wps:txbx>
                    <wps:bodyPr horzOverflow="overflow" rtlCol="0" vert="horz" lIns="0" tIns="0" rIns="0" bIns="0">
                      <a:noAutofit/>
                    </wps:bodyPr>
                  </wps:wsp>
                  <wps:wsp>
                    <wps:cNvPr id="37302" name="Rectangle 37302"/>
                    <wps:cNvSpPr/>
                    <wps:spPr>
                      <a:xfrm>
                        <a:off x="6796406" y="1171266"/>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37303" name="Rectangle 37303"/>
                    <wps:cNvSpPr/>
                    <wps:spPr>
                      <a:xfrm>
                        <a:off x="6828409" y="1171266"/>
                        <a:ext cx="486870"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EPP14</w:t>
                          </w:r>
                        </w:p>
                      </w:txbxContent>
                    </wps:txbx>
                    <wps:bodyPr horzOverflow="overflow" rtlCol="0" vert="horz" lIns="0" tIns="0" rIns="0" bIns="0">
                      <a:noAutofit/>
                    </wps:bodyPr>
                  </wps:wsp>
                  <wps:wsp>
                    <wps:cNvPr id="37304" name="Rectangle 37304"/>
                    <wps:cNvSpPr/>
                    <wps:spPr>
                      <a:xfrm>
                        <a:off x="7194169" y="1171266"/>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37305" name="Rectangle 37305"/>
                    <wps:cNvSpPr/>
                    <wps:spPr>
                      <a:xfrm>
                        <a:off x="5548249" y="1312998"/>
                        <a:ext cx="3208566"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Les mécanismes de financement, de coordination </w:t>
                          </w:r>
                        </w:p>
                      </w:txbxContent>
                    </wps:txbx>
                    <wps:bodyPr horzOverflow="overflow" rtlCol="0" vert="horz" lIns="0" tIns="0" rIns="0" bIns="0">
                      <a:noAutofit/>
                    </wps:bodyPr>
                  </wps:wsp>
                  <wps:wsp>
                    <wps:cNvPr id="37306" name="Rectangle 37306"/>
                    <wps:cNvSpPr/>
                    <wps:spPr>
                      <a:xfrm>
                        <a:off x="5702173" y="1459302"/>
                        <a:ext cx="2798915"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ainsi que les innovations technologiques et </w:t>
                          </w:r>
                        </w:p>
                      </w:txbxContent>
                    </wps:txbx>
                    <wps:bodyPr horzOverflow="overflow" rtlCol="0" vert="horz" lIns="0" tIns="0" rIns="0" bIns="0">
                      <a:noAutofit/>
                    </wps:bodyPr>
                  </wps:wsp>
                  <wps:wsp>
                    <wps:cNvPr id="37307" name="Rectangle 37307"/>
                    <wps:cNvSpPr/>
                    <wps:spPr>
                      <a:xfrm>
                        <a:off x="5613782" y="1605606"/>
                        <a:ext cx="2934175"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techniques appropriées répondent aux besoin</w:t>
                          </w:r>
                        </w:p>
                      </w:txbxContent>
                    </wps:txbx>
                    <wps:bodyPr horzOverflow="overflow" rtlCol="0" vert="horz" lIns="0" tIns="0" rIns="0" bIns="0">
                      <a:noAutofit/>
                    </wps:bodyPr>
                  </wps:wsp>
                  <wps:wsp>
                    <wps:cNvPr id="37308" name="Rectangle 37308"/>
                    <wps:cNvSpPr/>
                    <wps:spPr>
                      <a:xfrm>
                        <a:off x="7819390" y="1605606"/>
                        <a:ext cx="102874"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s </w:t>
                          </w:r>
                        </w:p>
                      </w:txbxContent>
                    </wps:txbx>
                    <wps:bodyPr horzOverflow="overflow" rtlCol="0" vert="horz" lIns="0" tIns="0" rIns="0" bIns="0">
                      <a:noAutofit/>
                    </wps:bodyPr>
                  </wps:wsp>
                  <wps:wsp>
                    <wps:cNvPr id="37309" name="Rectangle 37309"/>
                    <wps:cNvSpPr/>
                    <wps:spPr>
                      <a:xfrm>
                        <a:off x="5593969" y="1776786"/>
                        <a:ext cx="3086933" cy="153202"/>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d’adaptation et d’atténuation aux changements </w:t>
                          </w:r>
                        </w:p>
                      </w:txbxContent>
                    </wps:txbx>
                    <wps:bodyPr horzOverflow="overflow" rtlCol="0" vert="horz" lIns="0" tIns="0" rIns="0" bIns="0">
                      <a:noAutofit/>
                    </wps:bodyPr>
                  </wps:wsp>
                  <wps:wsp>
                    <wps:cNvPr id="37312" name="Shape 37312"/>
                    <wps:cNvSpPr/>
                    <wps:spPr>
                      <a:xfrm>
                        <a:off x="6774815" y="873125"/>
                        <a:ext cx="0" cy="190500"/>
                      </a:xfrm>
                      <a:custGeom>
                        <a:pathLst>
                          <a:path w="0" h="190500">
                            <a:moveTo>
                              <a:pt x="0" y="0"/>
                            </a:moveTo>
                            <a:lnTo>
                              <a:pt x="0" y="190500"/>
                            </a:lnTo>
                          </a:path>
                        </a:pathLst>
                      </a:custGeom>
                      <a:ln w="9525" cap="rnd">
                        <a:round/>
                      </a:ln>
                    </wps:spPr>
                    <wps:style>
                      <a:lnRef idx="1">
                        <a:srgbClr val="000000"/>
                      </a:lnRef>
                      <a:fillRef idx="0">
                        <a:srgbClr val="000000">
                          <a:alpha val="0"/>
                        </a:srgbClr>
                      </a:fillRef>
                      <a:effectRef idx="0"/>
                      <a:fontRef idx="none"/>
                    </wps:style>
                    <wps:bodyPr/>
                  </wps:wsp>
                  <wps:wsp>
                    <wps:cNvPr id="37314" name="Shape 37314"/>
                    <wps:cNvSpPr/>
                    <wps:spPr>
                      <a:xfrm>
                        <a:off x="1140460" y="0"/>
                        <a:ext cx="2700020" cy="964565"/>
                      </a:xfrm>
                      <a:custGeom>
                        <a:pathLst>
                          <a:path w="2700020" h="964565">
                            <a:moveTo>
                              <a:pt x="160782" y="0"/>
                            </a:moveTo>
                            <a:cubicBezTo>
                              <a:pt x="72009" y="0"/>
                              <a:pt x="0" y="72009"/>
                              <a:pt x="0" y="160782"/>
                            </a:cubicBezTo>
                            <a:lnTo>
                              <a:pt x="0" y="803783"/>
                            </a:lnTo>
                            <a:cubicBezTo>
                              <a:pt x="0" y="892556"/>
                              <a:pt x="72009" y="964565"/>
                              <a:pt x="160782" y="964565"/>
                            </a:cubicBezTo>
                            <a:lnTo>
                              <a:pt x="2539238" y="964565"/>
                            </a:lnTo>
                            <a:cubicBezTo>
                              <a:pt x="2628011" y="964565"/>
                              <a:pt x="2700020" y="892556"/>
                              <a:pt x="2700020" y="803783"/>
                            </a:cubicBezTo>
                            <a:lnTo>
                              <a:pt x="2700020" y="160782"/>
                            </a:lnTo>
                            <a:cubicBezTo>
                              <a:pt x="2700020" y="72009"/>
                              <a:pt x="2628011" y="0"/>
                              <a:pt x="2539238" y="0"/>
                            </a:cubicBezTo>
                            <a:close/>
                          </a:path>
                        </a:pathLst>
                      </a:custGeom>
                      <a:ln w="12700" cap="flat">
                        <a:custDash>
                          <a:ds d="400000" sp="300000"/>
                        </a:custDash>
                        <a:round/>
                      </a:ln>
                    </wps:spPr>
                    <wps:style>
                      <a:lnRef idx="1">
                        <a:srgbClr val="f79646"/>
                      </a:lnRef>
                      <a:fillRef idx="0">
                        <a:srgbClr val="000000">
                          <a:alpha val="0"/>
                        </a:srgbClr>
                      </a:fillRef>
                      <a:effectRef idx="0"/>
                      <a:fontRef idx="none"/>
                    </wps:style>
                    <wps:bodyPr/>
                  </wps:wsp>
                  <wps:wsp>
                    <wps:cNvPr id="37315" name="Rectangle 37315"/>
                    <wps:cNvSpPr/>
                    <wps:spPr>
                      <a:xfrm>
                        <a:off x="2293874" y="96465"/>
                        <a:ext cx="523882" cy="186236"/>
                      </a:xfrm>
                      <a:prstGeom prst="rect">
                        <a:avLst/>
                      </a:prstGeom>
                      <a:ln>
                        <a:noFill/>
                      </a:ln>
                    </wps:spPr>
                    <wps:txbx>
                      <w:txbxContent>
                        <w:p>
                          <w:pPr>
                            <w:spacing w:before="0" w:after="160" w:line="259" w:lineRule="auto"/>
                            <w:ind w:left="0" w:firstLine="0"/>
                            <w:jc w:val="left"/>
                          </w:pPr>
                          <w:r>
                            <w:rPr>
                              <w:sz w:val="20"/>
                            </w:rPr>
                            <w:t xml:space="preserve">EPP 1.1</w:t>
                          </w:r>
                        </w:p>
                      </w:txbxContent>
                    </wps:txbx>
                    <wps:bodyPr horzOverflow="overflow" rtlCol="0" vert="horz" lIns="0" tIns="0" rIns="0" bIns="0">
                      <a:noAutofit/>
                    </wps:bodyPr>
                  </wps:wsp>
                  <wps:wsp>
                    <wps:cNvPr id="37316" name="Rectangle 37316"/>
                    <wps:cNvSpPr/>
                    <wps:spPr>
                      <a:xfrm>
                        <a:off x="2685923" y="96465"/>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37317" name="Rectangle 37317"/>
                    <wps:cNvSpPr/>
                    <wps:spPr>
                      <a:xfrm>
                        <a:off x="1393190" y="241245"/>
                        <a:ext cx="2958738" cy="186236"/>
                      </a:xfrm>
                      <a:prstGeom prst="rect">
                        <a:avLst/>
                      </a:prstGeom>
                      <a:ln>
                        <a:noFill/>
                      </a:ln>
                    </wps:spPr>
                    <wps:txbx>
                      <w:txbxContent>
                        <w:p>
                          <w:pPr>
                            <w:spacing w:before="0" w:after="160" w:line="259" w:lineRule="auto"/>
                            <w:ind w:left="0" w:firstLine="0"/>
                            <w:jc w:val="left"/>
                          </w:pPr>
                          <w:r>
                            <w:rPr>
                              <w:sz w:val="20"/>
                            </w:rPr>
                            <w:t xml:space="preserve">Les structures nationales sont mieux outillées </w:t>
                          </w:r>
                        </w:p>
                      </w:txbxContent>
                    </wps:txbx>
                    <wps:bodyPr horzOverflow="overflow" rtlCol="0" vert="horz" lIns="0" tIns="0" rIns="0" bIns="0">
                      <a:noAutofit/>
                    </wps:bodyPr>
                  </wps:wsp>
                  <wps:wsp>
                    <wps:cNvPr id="37318" name="Rectangle 37318"/>
                    <wps:cNvSpPr/>
                    <wps:spPr>
                      <a:xfrm>
                        <a:off x="1414526" y="387549"/>
                        <a:ext cx="1618920" cy="186236"/>
                      </a:xfrm>
                      <a:prstGeom prst="rect">
                        <a:avLst/>
                      </a:prstGeom>
                      <a:ln>
                        <a:noFill/>
                      </a:ln>
                    </wps:spPr>
                    <wps:txbx>
                      <w:txbxContent>
                        <w:p>
                          <w:pPr>
                            <w:spacing w:before="0" w:after="160" w:line="259" w:lineRule="auto"/>
                            <w:ind w:left="0" w:firstLine="0"/>
                            <w:jc w:val="left"/>
                          </w:pPr>
                          <w:r>
                            <w:rPr>
                              <w:sz w:val="20"/>
                            </w:rPr>
                            <w:t xml:space="preserve">pour formuler, mettre en </w:t>
                          </w:r>
                        </w:p>
                      </w:txbxContent>
                    </wps:txbx>
                    <wps:bodyPr horzOverflow="overflow" rtlCol="0" vert="horz" lIns="0" tIns="0" rIns="0" bIns="0">
                      <a:noAutofit/>
                    </wps:bodyPr>
                  </wps:wsp>
                  <wps:wsp>
                    <wps:cNvPr id="37319" name="Rectangle 37319"/>
                    <wps:cNvSpPr/>
                    <wps:spPr>
                      <a:xfrm>
                        <a:off x="2630678" y="412549"/>
                        <a:ext cx="1284638" cy="153037"/>
                      </a:xfrm>
                      <a:prstGeom prst="rect">
                        <a:avLst/>
                      </a:prstGeom>
                      <a:ln>
                        <a:noFill/>
                      </a:ln>
                    </wps:spPr>
                    <wps:txbx>
                      <w:txbxContent>
                        <w:p>
                          <w:pPr>
                            <w:spacing w:before="0" w:after="160" w:line="259" w:lineRule="auto"/>
                            <w:ind w:left="0" w:firstLine="0"/>
                            <w:jc w:val="left"/>
                          </w:pPr>
                          <w:r>
                            <w:rPr>
                              <w:sz w:val="20"/>
                            </w:rPr>
                            <w:t xml:space="preserve">œuvre et suivre des </w:t>
                          </w:r>
                        </w:p>
                      </w:txbxContent>
                    </wps:txbx>
                    <wps:bodyPr horzOverflow="overflow" rtlCol="0" vert="horz" lIns="0" tIns="0" rIns="0" bIns="0">
                      <a:noAutofit/>
                    </wps:bodyPr>
                  </wps:wsp>
                  <wps:wsp>
                    <wps:cNvPr id="37320" name="Rectangle 37320"/>
                    <wps:cNvSpPr/>
                    <wps:spPr>
                      <a:xfrm>
                        <a:off x="1301750" y="533853"/>
                        <a:ext cx="3204360" cy="186236"/>
                      </a:xfrm>
                      <a:prstGeom prst="rect">
                        <a:avLst/>
                      </a:prstGeom>
                      <a:ln>
                        <a:noFill/>
                      </a:ln>
                    </wps:spPr>
                    <wps:txbx>
                      <w:txbxContent>
                        <w:p>
                          <w:pPr>
                            <w:spacing w:before="0" w:after="160" w:line="259" w:lineRule="auto"/>
                            <w:ind w:left="0" w:firstLine="0"/>
                            <w:jc w:val="left"/>
                          </w:pPr>
                          <w:r>
                            <w:rPr>
                              <w:sz w:val="20"/>
                            </w:rPr>
                            <w:t xml:space="preserve">politiques et programmes sectoriels en cohérence </w:t>
                          </w:r>
                        </w:p>
                      </w:txbxContent>
                    </wps:txbx>
                    <wps:bodyPr horzOverflow="overflow" rtlCol="0" vert="horz" lIns="0" tIns="0" rIns="0" bIns="0">
                      <a:noAutofit/>
                    </wps:bodyPr>
                  </wps:wsp>
                  <wps:wsp>
                    <wps:cNvPr id="37321" name="Rectangle 37321"/>
                    <wps:cNvSpPr/>
                    <wps:spPr>
                      <a:xfrm>
                        <a:off x="1784858" y="683205"/>
                        <a:ext cx="1879010" cy="186236"/>
                      </a:xfrm>
                      <a:prstGeom prst="rect">
                        <a:avLst/>
                      </a:prstGeom>
                      <a:ln>
                        <a:noFill/>
                      </a:ln>
                    </wps:spPr>
                    <wps:txbx>
                      <w:txbxContent>
                        <w:p>
                          <w:pPr>
                            <w:spacing w:before="0" w:after="160" w:line="259" w:lineRule="auto"/>
                            <w:ind w:left="0" w:firstLine="0"/>
                            <w:jc w:val="left"/>
                          </w:pPr>
                          <w:r>
                            <w:rPr>
                              <w:sz w:val="20"/>
                            </w:rPr>
                            <w:t xml:space="preserve">avec la SCADD et les OMD.</w:t>
                          </w:r>
                        </w:p>
                      </w:txbxContent>
                    </wps:txbx>
                    <wps:bodyPr horzOverflow="overflow" rtlCol="0" vert="horz" lIns="0" tIns="0" rIns="0" bIns="0">
                      <a:noAutofit/>
                    </wps:bodyPr>
                  </wps:wsp>
                  <wps:wsp>
                    <wps:cNvPr id="37322" name="Rectangle 37322"/>
                    <wps:cNvSpPr/>
                    <wps:spPr>
                      <a:xfrm>
                        <a:off x="3196463" y="683205"/>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37323" name="Shape 37323"/>
                    <wps:cNvSpPr/>
                    <wps:spPr>
                      <a:xfrm>
                        <a:off x="5258435" y="0"/>
                        <a:ext cx="2788285" cy="873125"/>
                      </a:xfrm>
                      <a:custGeom>
                        <a:pathLst>
                          <a:path w="2788285" h="873125">
                            <a:moveTo>
                              <a:pt x="145542" y="0"/>
                            </a:moveTo>
                            <a:lnTo>
                              <a:pt x="2642743" y="0"/>
                            </a:lnTo>
                            <a:cubicBezTo>
                              <a:pt x="2723134" y="0"/>
                              <a:pt x="2788285" y="65151"/>
                              <a:pt x="2788285" y="145542"/>
                            </a:cubicBezTo>
                            <a:lnTo>
                              <a:pt x="2788285" y="727583"/>
                            </a:lnTo>
                            <a:cubicBezTo>
                              <a:pt x="2788285" y="807974"/>
                              <a:pt x="2723134" y="873125"/>
                              <a:pt x="2642743" y="873125"/>
                            </a:cubicBezTo>
                            <a:lnTo>
                              <a:pt x="145542" y="873125"/>
                            </a:lnTo>
                            <a:cubicBezTo>
                              <a:pt x="65151" y="873125"/>
                              <a:pt x="0" y="807974"/>
                              <a:pt x="0" y="727583"/>
                            </a:cubicBezTo>
                            <a:lnTo>
                              <a:pt x="0" y="145542"/>
                            </a:lnTo>
                            <a:cubicBezTo>
                              <a:pt x="0" y="65151"/>
                              <a:pt x="65151" y="0"/>
                              <a:pt x="145542" y="0"/>
                            </a:cubicBezTo>
                            <a:close/>
                          </a:path>
                        </a:pathLst>
                      </a:custGeom>
                      <a:ln w="0" cap="rnd">
                        <a:round/>
                      </a:ln>
                    </wps:spPr>
                    <wps:style>
                      <a:lnRef idx="0">
                        <a:srgbClr val="000000">
                          <a:alpha val="0"/>
                        </a:srgbClr>
                      </a:lnRef>
                      <a:fillRef idx="1">
                        <a:srgbClr val="ffffff"/>
                      </a:fillRef>
                      <a:effectRef idx="0"/>
                      <a:fontRef idx="none"/>
                    </wps:style>
                    <wps:bodyPr/>
                  </wps:wsp>
                  <wps:wsp>
                    <wps:cNvPr id="37324" name="Shape 37324"/>
                    <wps:cNvSpPr/>
                    <wps:spPr>
                      <a:xfrm>
                        <a:off x="5258435" y="0"/>
                        <a:ext cx="2788285" cy="873125"/>
                      </a:xfrm>
                      <a:custGeom>
                        <a:pathLst>
                          <a:path w="2788285" h="873125">
                            <a:moveTo>
                              <a:pt x="145542" y="0"/>
                            </a:moveTo>
                            <a:cubicBezTo>
                              <a:pt x="65151" y="0"/>
                              <a:pt x="0" y="65151"/>
                              <a:pt x="0" y="145542"/>
                            </a:cubicBezTo>
                            <a:lnTo>
                              <a:pt x="0" y="727583"/>
                            </a:lnTo>
                            <a:cubicBezTo>
                              <a:pt x="0" y="807974"/>
                              <a:pt x="65151" y="873125"/>
                              <a:pt x="145542" y="873125"/>
                            </a:cubicBezTo>
                            <a:lnTo>
                              <a:pt x="2642743" y="873125"/>
                            </a:lnTo>
                            <a:cubicBezTo>
                              <a:pt x="2723134" y="873125"/>
                              <a:pt x="2788285" y="807974"/>
                              <a:pt x="2788285" y="727583"/>
                            </a:cubicBezTo>
                            <a:lnTo>
                              <a:pt x="2788285" y="145542"/>
                            </a:lnTo>
                            <a:cubicBezTo>
                              <a:pt x="2788285" y="65151"/>
                              <a:pt x="2723134" y="0"/>
                              <a:pt x="2642743" y="0"/>
                            </a:cubicBezTo>
                            <a:close/>
                          </a:path>
                        </a:pathLst>
                      </a:custGeom>
                      <a:ln w="12700" cap="flat">
                        <a:custDash>
                          <a:ds d="400000" sp="300000"/>
                        </a:custDash>
                        <a:round/>
                      </a:ln>
                    </wps:spPr>
                    <wps:style>
                      <a:lnRef idx="1">
                        <a:srgbClr val="f79646"/>
                      </a:lnRef>
                      <a:fillRef idx="0">
                        <a:srgbClr val="000000">
                          <a:alpha val="0"/>
                        </a:srgbClr>
                      </a:fillRef>
                      <a:effectRef idx="0"/>
                      <a:fontRef idx="none"/>
                    </wps:style>
                    <wps:bodyPr/>
                  </wps:wsp>
                  <wps:wsp>
                    <wps:cNvPr id="37325" name="Rectangle 37325"/>
                    <wps:cNvSpPr/>
                    <wps:spPr>
                      <a:xfrm>
                        <a:off x="6456553" y="91893"/>
                        <a:ext cx="523882" cy="186236"/>
                      </a:xfrm>
                      <a:prstGeom prst="rect">
                        <a:avLst/>
                      </a:prstGeom>
                      <a:ln>
                        <a:noFill/>
                      </a:ln>
                    </wps:spPr>
                    <wps:txbx>
                      <w:txbxContent>
                        <w:p>
                          <w:pPr>
                            <w:spacing w:before="0" w:after="160" w:line="259" w:lineRule="auto"/>
                            <w:ind w:left="0" w:firstLine="0"/>
                            <w:jc w:val="left"/>
                          </w:pPr>
                          <w:r>
                            <w:rPr>
                              <w:sz w:val="20"/>
                            </w:rPr>
                            <w:t xml:space="preserve">EPP 1.4</w:t>
                          </w:r>
                        </w:p>
                      </w:txbxContent>
                    </wps:txbx>
                    <wps:bodyPr horzOverflow="overflow" rtlCol="0" vert="horz" lIns="0" tIns="0" rIns="0" bIns="0">
                      <a:noAutofit/>
                    </wps:bodyPr>
                  </wps:wsp>
                  <wps:wsp>
                    <wps:cNvPr id="37326" name="Rectangle 37326"/>
                    <wps:cNvSpPr/>
                    <wps:spPr>
                      <a:xfrm>
                        <a:off x="6848221" y="91893"/>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37327" name="Rectangle 37327"/>
                    <wps:cNvSpPr/>
                    <wps:spPr>
                      <a:xfrm>
                        <a:off x="5493385" y="236673"/>
                        <a:ext cx="3127140" cy="186236"/>
                      </a:xfrm>
                      <a:prstGeom prst="rect">
                        <a:avLst/>
                      </a:prstGeom>
                      <a:ln>
                        <a:noFill/>
                      </a:ln>
                    </wps:spPr>
                    <wps:txbx>
                      <w:txbxContent>
                        <w:p>
                          <w:pPr>
                            <w:spacing w:before="0" w:after="160" w:line="259" w:lineRule="auto"/>
                            <w:ind w:left="0" w:firstLine="0"/>
                            <w:jc w:val="left"/>
                          </w:pPr>
                          <w:r>
                            <w:rPr>
                              <w:sz w:val="20"/>
                            </w:rPr>
                            <w:t xml:space="preserve">Les structures nationales et les communautés de </w:t>
                          </w:r>
                        </w:p>
                      </w:txbxContent>
                    </wps:txbx>
                    <wps:bodyPr horzOverflow="overflow" rtlCol="0" vert="horz" lIns="0" tIns="0" rIns="0" bIns="0">
                      <a:noAutofit/>
                    </wps:bodyPr>
                  </wps:wsp>
                  <wps:wsp>
                    <wps:cNvPr id="37328" name="Rectangle 37328"/>
                    <wps:cNvSpPr/>
                    <wps:spPr>
                      <a:xfrm>
                        <a:off x="5665597" y="382977"/>
                        <a:ext cx="2667525" cy="186236"/>
                      </a:xfrm>
                      <a:prstGeom prst="rect">
                        <a:avLst/>
                      </a:prstGeom>
                      <a:ln>
                        <a:noFill/>
                      </a:ln>
                    </wps:spPr>
                    <wps:txbx>
                      <w:txbxContent>
                        <w:p>
                          <w:pPr>
                            <w:spacing w:before="0" w:after="160" w:line="259" w:lineRule="auto"/>
                            <w:ind w:left="0" w:firstLine="0"/>
                            <w:jc w:val="left"/>
                          </w:pPr>
                          <w:r>
                            <w:rPr>
                              <w:sz w:val="20"/>
                            </w:rPr>
                            <w:t xml:space="preserve">base pratiquent une approche intégrée de </w:t>
                          </w:r>
                        </w:p>
                      </w:txbxContent>
                    </wps:txbx>
                    <wps:bodyPr horzOverflow="overflow" rtlCol="0" vert="horz" lIns="0" tIns="0" rIns="0" bIns="0">
                      <a:noAutofit/>
                    </wps:bodyPr>
                  </wps:wsp>
                  <wps:wsp>
                    <wps:cNvPr id="37329" name="Rectangle 37329"/>
                    <wps:cNvSpPr/>
                    <wps:spPr>
                      <a:xfrm>
                        <a:off x="5404993" y="529281"/>
                        <a:ext cx="3362500" cy="186236"/>
                      </a:xfrm>
                      <a:prstGeom prst="rect">
                        <a:avLst/>
                      </a:prstGeom>
                      <a:ln>
                        <a:noFill/>
                      </a:ln>
                    </wps:spPr>
                    <wps:txbx>
                      <w:txbxContent>
                        <w:p>
                          <w:pPr>
                            <w:spacing w:before="0" w:after="160" w:line="259" w:lineRule="auto"/>
                            <w:ind w:left="0" w:firstLine="0"/>
                            <w:jc w:val="left"/>
                          </w:pPr>
                          <w:r>
                            <w:rPr>
                              <w:sz w:val="20"/>
                            </w:rPr>
                            <w:t xml:space="preserve">développement durable et de gestion des ressources </w:t>
                          </w:r>
                        </w:p>
                      </w:txbxContent>
                    </wps:txbx>
                    <wps:bodyPr horzOverflow="overflow" rtlCol="0" vert="horz" lIns="0" tIns="0" rIns="0" bIns="0">
                      <a:noAutofit/>
                    </wps:bodyPr>
                  </wps:wsp>
                  <wps:wsp>
                    <wps:cNvPr id="37330" name="Rectangle 37330"/>
                    <wps:cNvSpPr/>
                    <wps:spPr>
                      <a:xfrm>
                        <a:off x="6418453" y="675585"/>
                        <a:ext cx="625018" cy="186236"/>
                      </a:xfrm>
                      <a:prstGeom prst="rect">
                        <a:avLst/>
                      </a:prstGeom>
                      <a:ln>
                        <a:noFill/>
                      </a:ln>
                    </wps:spPr>
                    <wps:txbx>
                      <w:txbxContent>
                        <w:p>
                          <w:pPr>
                            <w:spacing w:before="0" w:after="160" w:line="259" w:lineRule="auto"/>
                            <w:ind w:left="0" w:firstLine="0"/>
                            <w:jc w:val="left"/>
                          </w:pPr>
                          <w:r>
                            <w:rPr>
                              <w:sz w:val="20"/>
                            </w:rPr>
                            <w:t xml:space="preserve">naturelles</w:t>
                          </w:r>
                        </w:p>
                      </w:txbxContent>
                    </wps:txbx>
                    <wps:bodyPr horzOverflow="overflow" rtlCol="0" vert="horz" lIns="0" tIns="0" rIns="0" bIns="0">
                      <a:noAutofit/>
                    </wps:bodyPr>
                  </wps:wsp>
                  <wps:wsp>
                    <wps:cNvPr id="37331" name="Rectangle 37331"/>
                    <wps:cNvSpPr/>
                    <wps:spPr>
                      <a:xfrm>
                        <a:off x="6886321" y="675585"/>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37333" name="Shape 37333"/>
                    <wps:cNvSpPr/>
                    <wps:spPr>
                      <a:xfrm>
                        <a:off x="1140460" y="1143000"/>
                        <a:ext cx="2740025" cy="941705"/>
                      </a:xfrm>
                      <a:custGeom>
                        <a:pathLst>
                          <a:path w="2740025" h="941705">
                            <a:moveTo>
                              <a:pt x="156972" y="0"/>
                            </a:moveTo>
                            <a:cubicBezTo>
                              <a:pt x="70231" y="0"/>
                              <a:pt x="0" y="70231"/>
                              <a:pt x="0" y="156972"/>
                            </a:cubicBezTo>
                            <a:lnTo>
                              <a:pt x="0" y="784733"/>
                            </a:lnTo>
                            <a:cubicBezTo>
                              <a:pt x="0" y="871474"/>
                              <a:pt x="70231" y="941705"/>
                              <a:pt x="156972" y="941705"/>
                            </a:cubicBezTo>
                            <a:lnTo>
                              <a:pt x="2583053" y="941705"/>
                            </a:lnTo>
                            <a:cubicBezTo>
                              <a:pt x="2669794" y="941705"/>
                              <a:pt x="2740025" y="871474"/>
                              <a:pt x="2740025" y="784733"/>
                            </a:cubicBezTo>
                            <a:lnTo>
                              <a:pt x="2740025" y="156972"/>
                            </a:lnTo>
                            <a:cubicBezTo>
                              <a:pt x="2740025" y="70231"/>
                              <a:pt x="2669794" y="0"/>
                              <a:pt x="2583053" y="0"/>
                            </a:cubicBezTo>
                            <a:close/>
                          </a:path>
                        </a:pathLst>
                      </a:custGeom>
                      <a:ln w="31750" cap="rnd">
                        <a:round/>
                      </a:ln>
                    </wps:spPr>
                    <wps:style>
                      <a:lnRef idx="1">
                        <a:srgbClr val="000000"/>
                      </a:lnRef>
                      <a:fillRef idx="0">
                        <a:srgbClr val="000000">
                          <a:alpha val="0"/>
                        </a:srgbClr>
                      </a:fillRef>
                      <a:effectRef idx="0"/>
                      <a:fontRef idx="none"/>
                    </wps:style>
                    <wps:bodyPr/>
                  </wps:wsp>
                  <wps:wsp>
                    <wps:cNvPr id="37334" name="Rectangle 37334"/>
                    <wps:cNvSpPr/>
                    <wps:spPr>
                      <a:xfrm>
                        <a:off x="2056130" y="1250514"/>
                        <a:ext cx="1209269"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Produit 1 EPP11</w:t>
                          </w:r>
                        </w:p>
                      </w:txbxContent>
                    </wps:txbx>
                    <wps:bodyPr horzOverflow="overflow" rtlCol="0" vert="horz" lIns="0" tIns="0" rIns="0" bIns="0">
                      <a:noAutofit/>
                    </wps:bodyPr>
                  </wps:wsp>
                  <wps:wsp>
                    <wps:cNvPr id="37335" name="Rectangle 37335"/>
                    <wps:cNvSpPr/>
                    <wps:spPr>
                      <a:xfrm>
                        <a:off x="2966339" y="1250514"/>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wps:txbx>
                    <wps:bodyPr horzOverflow="overflow" rtlCol="0" vert="horz" lIns="0" tIns="0" rIns="0" bIns="0">
                      <a:noAutofit/>
                    </wps:bodyPr>
                  </wps:wsp>
                  <wps:wsp>
                    <wps:cNvPr id="37336" name="Rectangle 37336"/>
                    <wps:cNvSpPr/>
                    <wps:spPr>
                      <a:xfrm>
                        <a:off x="1301750" y="1392246"/>
                        <a:ext cx="3256681"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Les thèmes transversaux sont mieux intégrés dans </w:t>
                          </w:r>
                        </w:p>
                      </w:txbxContent>
                    </wps:txbx>
                    <wps:bodyPr horzOverflow="overflow" rtlCol="0" vert="horz" lIns="0" tIns="0" rIns="0" bIns="0">
                      <a:noAutofit/>
                    </wps:bodyPr>
                  </wps:wsp>
                  <wps:wsp>
                    <wps:cNvPr id="37337" name="Rectangle 37337"/>
                    <wps:cNvSpPr/>
                    <wps:spPr>
                      <a:xfrm>
                        <a:off x="1499870" y="1538550"/>
                        <a:ext cx="27319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la SCADD et les politiques sectorielles de </w:t>
                          </w:r>
                        </w:p>
                      </w:txbxContent>
                    </wps:txbx>
                    <wps:bodyPr horzOverflow="overflow" rtlCol="0" vert="horz" lIns="0" tIns="0" rIns="0" bIns="0">
                      <a:noAutofit/>
                    </wps:bodyPr>
                  </wps:wsp>
                  <wps:wsp>
                    <wps:cNvPr id="37338" name="Rectangle 37338"/>
                    <wps:cNvSpPr/>
                    <wps:spPr>
                      <a:xfrm>
                        <a:off x="2132330" y="1684854"/>
                        <a:ext cx="100923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développement.</w:t>
                          </w:r>
                        </w:p>
                      </w:txbxContent>
                    </wps:txbx>
                    <wps:bodyPr horzOverflow="overflow" rtlCol="0" vert="horz" lIns="0" tIns="0" rIns="0" bIns="0">
                      <a:noAutofit/>
                    </wps:bodyPr>
                  </wps:wsp>
                  <wps:wsp>
                    <wps:cNvPr id="37339" name="Rectangle 37339"/>
                    <wps:cNvSpPr/>
                    <wps:spPr>
                      <a:xfrm>
                        <a:off x="2890139" y="1684854"/>
                        <a:ext cx="42058" cy="186236"/>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0"/>
                            </w:rPr>
                            <w:t xml:space="preserve"> </w:t>
                          </w:r>
                        </w:p>
                      </w:txbxContent>
                    </wps:txbx>
                    <wps:bodyPr horzOverflow="overflow" rtlCol="0" vert="horz" lIns="0" tIns="0" rIns="0" bIns="0">
                      <a:noAutofit/>
                    </wps:bodyPr>
                  </wps:wsp>
                  <wps:wsp>
                    <wps:cNvPr id="37340" name="Rectangle 37340"/>
                    <wps:cNvSpPr/>
                    <wps:spPr>
                      <a:xfrm>
                        <a:off x="2510282" y="1834206"/>
                        <a:ext cx="42058" cy="186236"/>
                      </a:xfrm>
                      <a:prstGeom prst="rect">
                        <a:avLst/>
                      </a:prstGeom>
                      <a:ln>
                        <a:noFill/>
                      </a:ln>
                    </wps:spPr>
                    <wps:txbx>
                      <w:txbxContent>
                        <w:p>
                          <w:pPr>
                            <w:spacing w:before="0" w:after="160" w:line="259" w:lineRule="auto"/>
                            <w:ind w:left="0" w:firstLine="0"/>
                            <w:jc w:val="left"/>
                          </w:pPr>
                          <w:r>
                            <w:rPr>
                              <w:sz w:val="20"/>
                            </w:rPr>
                            <w:t xml:space="preserve"> </w:t>
                          </w:r>
                        </w:p>
                      </w:txbxContent>
                    </wps:txbx>
                    <wps:bodyPr horzOverflow="overflow" rtlCol="0" vert="horz" lIns="0" tIns="0" rIns="0" bIns="0">
                      <a:noAutofit/>
                    </wps:bodyPr>
                  </wps:wsp>
                  <wps:wsp>
                    <wps:cNvPr id="37341" name="Shape 37341"/>
                    <wps:cNvSpPr/>
                    <wps:spPr>
                      <a:xfrm>
                        <a:off x="2529205" y="964565"/>
                        <a:ext cx="635" cy="178435"/>
                      </a:xfrm>
                      <a:custGeom>
                        <a:pathLst>
                          <a:path w="635" h="178435">
                            <a:moveTo>
                              <a:pt x="0" y="0"/>
                            </a:moveTo>
                            <a:lnTo>
                              <a:pt x="635" y="178435"/>
                            </a:lnTo>
                          </a:path>
                        </a:pathLst>
                      </a:custGeom>
                      <a:ln w="9525" cap="rnd">
                        <a:round/>
                      </a:ln>
                    </wps:spPr>
                    <wps:style>
                      <a:lnRef idx="1">
                        <a:srgbClr val="000000"/>
                      </a:lnRef>
                      <a:fillRef idx="0">
                        <a:srgbClr val="000000">
                          <a:alpha val="0"/>
                        </a:srgbClr>
                      </a:fillRef>
                      <a:effectRef idx="0"/>
                      <a:fontRef idx="none"/>
                    </wps:style>
                    <wps:bodyPr/>
                  </wps:wsp>
                  <wps:wsp>
                    <wps:cNvPr id="187328" name="Shape 187328"/>
                    <wps:cNvSpPr/>
                    <wps:spPr>
                      <a:xfrm>
                        <a:off x="601345" y="2419350"/>
                        <a:ext cx="2066925" cy="1007110"/>
                      </a:xfrm>
                      <a:custGeom>
                        <a:pathLst>
                          <a:path w="2066925" h="1007110">
                            <a:moveTo>
                              <a:pt x="0" y="0"/>
                            </a:moveTo>
                            <a:lnTo>
                              <a:pt x="2066925" y="0"/>
                            </a:lnTo>
                            <a:lnTo>
                              <a:pt x="2066925" y="1007110"/>
                            </a:lnTo>
                            <a:lnTo>
                              <a:pt x="0" y="1007110"/>
                            </a:lnTo>
                            <a:lnTo>
                              <a:pt x="0" y="0"/>
                            </a:lnTo>
                          </a:path>
                        </a:pathLst>
                      </a:custGeom>
                      <a:ln w="0" cap="rnd">
                        <a:round/>
                      </a:ln>
                    </wps:spPr>
                    <wps:style>
                      <a:lnRef idx="0">
                        <a:srgbClr val="000000">
                          <a:alpha val="0"/>
                        </a:srgbClr>
                      </a:lnRef>
                      <a:fillRef idx="1">
                        <a:srgbClr val="205867"/>
                      </a:fillRef>
                      <a:effectRef idx="0"/>
                      <a:fontRef idx="none"/>
                    </wps:style>
                    <wps:bodyPr/>
                  </wps:wsp>
                  <pic:pic xmlns:pic="http://schemas.openxmlformats.org/drawingml/2006/picture">
                    <pic:nvPicPr>
                      <pic:cNvPr id="179147" name="Picture 179147"/>
                      <pic:cNvPicPr/>
                    </pic:nvPicPr>
                    <pic:blipFill>
                      <a:blip r:embed="rId66"/>
                      <a:stretch>
                        <a:fillRect/>
                      </a:stretch>
                    </pic:blipFill>
                    <pic:spPr>
                      <a:xfrm>
                        <a:off x="583184" y="2387727"/>
                        <a:ext cx="2075688" cy="1014984"/>
                      </a:xfrm>
                      <a:prstGeom prst="rect">
                        <a:avLst/>
                      </a:prstGeom>
                    </pic:spPr>
                  </pic:pic>
                  <wps:wsp>
                    <wps:cNvPr id="37344" name="Shape 37344"/>
                    <wps:cNvSpPr/>
                    <wps:spPr>
                      <a:xfrm>
                        <a:off x="588645" y="2393950"/>
                        <a:ext cx="2066925" cy="1007110"/>
                      </a:xfrm>
                      <a:custGeom>
                        <a:pathLst>
                          <a:path w="2066925" h="1007110">
                            <a:moveTo>
                              <a:pt x="0" y="1007110"/>
                            </a:moveTo>
                            <a:lnTo>
                              <a:pt x="2066925" y="1007110"/>
                            </a:lnTo>
                            <a:lnTo>
                              <a:pt x="2066925"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37345" name="Rectangle 37345"/>
                    <wps:cNvSpPr/>
                    <wps:spPr>
                      <a:xfrm>
                        <a:off x="1259078" y="2448768"/>
                        <a:ext cx="96638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1. projet</w:t>
                          </w:r>
                        </w:p>
                      </w:txbxContent>
                    </wps:txbx>
                    <wps:bodyPr horzOverflow="overflow" rtlCol="0" vert="horz" lIns="0" tIns="0" rIns="0" bIns="0">
                      <a:noAutofit/>
                    </wps:bodyPr>
                  </wps:wsp>
                  <wps:wsp>
                    <wps:cNvPr id="37346" name="Rectangle 37346"/>
                    <wps:cNvSpPr/>
                    <wps:spPr>
                      <a:xfrm>
                        <a:off x="1984502"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37347" name="Rectangle 37347"/>
                    <wps:cNvSpPr/>
                    <wps:spPr>
                      <a:xfrm>
                        <a:off x="686054" y="2564592"/>
                        <a:ext cx="1560927" cy="150334"/>
                      </a:xfrm>
                      <a:prstGeom prst="rect">
                        <a:avLst/>
                      </a:prstGeom>
                      <a:ln>
                        <a:noFill/>
                      </a:ln>
                    </wps:spPr>
                    <wps:txbx>
                      <w:txbxContent>
                        <w:p>
                          <w:pPr>
                            <w:spacing w:before="0" w:after="160" w:line="259" w:lineRule="auto"/>
                            <w:ind w:left="0" w:firstLine="0"/>
                            <w:jc w:val="left"/>
                          </w:pPr>
                          <w:r>
                            <w:rPr>
                              <w:sz w:val="16"/>
                            </w:rPr>
                            <w:t xml:space="preserve">Les structures centrales sont </w:t>
                          </w:r>
                        </w:p>
                      </w:txbxContent>
                    </wps:txbx>
                    <wps:bodyPr horzOverflow="overflow" rtlCol="0" vert="horz" lIns="0" tIns="0" rIns="0" bIns="0">
                      <a:noAutofit/>
                    </wps:bodyPr>
                  </wps:wsp>
                  <wps:wsp>
                    <wps:cNvPr id="37348" name="Rectangle 37348"/>
                    <wps:cNvSpPr/>
                    <wps:spPr>
                      <a:xfrm>
                        <a:off x="1861058" y="2564592"/>
                        <a:ext cx="773402" cy="150334"/>
                      </a:xfrm>
                      <a:prstGeom prst="rect">
                        <a:avLst/>
                      </a:prstGeom>
                      <a:ln>
                        <a:noFill/>
                      </a:ln>
                    </wps:spPr>
                    <wps:txbx>
                      <w:txbxContent>
                        <w:p>
                          <w:pPr>
                            <w:spacing w:before="0" w:after="160" w:line="259" w:lineRule="auto"/>
                            <w:ind w:left="0" w:firstLine="0"/>
                            <w:jc w:val="left"/>
                          </w:pPr>
                          <w:r>
                            <w:rPr>
                              <w:sz w:val="16"/>
                            </w:rPr>
                            <w:t xml:space="preserve">outillées pour </w:t>
                          </w:r>
                        </w:p>
                      </w:txbxContent>
                    </wps:txbx>
                    <wps:bodyPr horzOverflow="overflow" rtlCol="0" vert="horz" lIns="0" tIns="0" rIns="0" bIns="0">
                      <a:noAutofit/>
                    </wps:bodyPr>
                  </wps:wsp>
                  <wps:wsp>
                    <wps:cNvPr id="37349" name="Rectangle 37349"/>
                    <wps:cNvSpPr/>
                    <wps:spPr>
                      <a:xfrm>
                        <a:off x="686054" y="2680670"/>
                        <a:ext cx="2348453" cy="150334"/>
                      </a:xfrm>
                      <a:prstGeom prst="rect">
                        <a:avLst/>
                      </a:prstGeom>
                      <a:ln>
                        <a:noFill/>
                      </a:ln>
                    </wps:spPr>
                    <wps:txbx>
                      <w:txbxContent>
                        <w:p>
                          <w:pPr>
                            <w:spacing w:before="0" w:after="160" w:line="259" w:lineRule="auto"/>
                            <w:ind w:left="0" w:firstLine="0"/>
                            <w:jc w:val="left"/>
                          </w:pPr>
                          <w:r>
                            <w:rPr>
                              <w:sz w:val="16"/>
                            </w:rPr>
                            <w:t xml:space="preserve">assurer la prise en compte des principes du </w:t>
                          </w:r>
                        </w:p>
                      </w:txbxContent>
                    </wps:txbx>
                    <wps:bodyPr horzOverflow="overflow" rtlCol="0" vert="horz" lIns="0" tIns="0" rIns="0" bIns="0">
                      <a:noAutofit/>
                    </wps:bodyPr>
                  </wps:wsp>
                  <wps:wsp>
                    <wps:cNvPr id="37350" name="Rectangle 37350"/>
                    <wps:cNvSpPr/>
                    <wps:spPr>
                      <a:xfrm>
                        <a:off x="686054" y="2818199"/>
                        <a:ext cx="2376700" cy="123537"/>
                      </a:xfrm>
                      <a:prstGeom prst="rect">
                        <a:avLst/>
                      </a:prstGeom>
                      <a:ln>
                        <a:noFill/>
                      </a:ln>
                    </wps:spPr>
                    <wps:txbx>
                      <w:txbxContent>
                        <w:p>
                          <w:pPr>
                            <w:spacing w:before="0" w:after="160" w:line="259" w:lineRule="auto"/>
                            <w:ind w:left="0" w:firstLine="0"/>
                            <w:jc w:val="left"/>
                          </w:pPr>
                          <w:r>
                            <w:rPr>
                              <w:sz w:val="16"/>
                            </w:rPr>
                            <w:t xml:space="preserve">DD dans la mise en œuvre de la SCADD et </w:t>
                          </w:r>
                        </w:p>
                      </w:txbxContent>
                    </wps:txbx>
                    <wps:bodyPr horzOverflow="overflow" rtlCol="0" vert="horz" lIns="0" tIns="0" rIns="0" bIns="0">
                      <a:noAutofit/>
                    </wps:bodyPr>
                  </wps:wsp>
                  <wps:wsp>
                    <wps:cNvPr id="37351" name="Rectangle 37351"/>
                    <wps:cNvSpPr/>
                    <wps:spPr>
                      <a:xfrm>
                        <a:off x="686054" y="2915366"/>
                        <a:ext cx="1913043" cy="150334"/>
                      </a:xfrm>
                      <a:prstGeom prst="rect">
                        <a:avLst/>
                      </a:prstGeom>
                      <a:ln>
                        <a:noFill/>
                      </a:ln>
                    </wps:spPr>
                    <wps:txbx>
                      <w:txbxContent>
                        <w:p>
                          <w:pPr>
                            <w:spacing w:before="0" w:after="160" w:line="259" w:lineRule="auto"/>
                            <w:ind w:left="0" w:firstLine="0"/>
                            <w:jc w:val="left"/>
                          </w:pPr>
                          <w:r>
                            <w:rPr>
                              <w:sz w:val="16"/>
                            </w:rPr>
                            <w:t xml:space="preserve">des plans locaux de développement</w:t>
                          </w:r>
                        </w:p>
                      </w:txbxContent>
                    </wps:txbx>
                    <wps:bodyPr horzOverflow="overflow" rtlCol="0" vert="horz" lIns="0" tIns="0" rIns="0" bIns="0">
                      <a:noAutofit/>
                    </wps:bodyPr>
                  </wps:wsp>
                  <wps:wsp>
                    <wps:cNvPr id="37352" name="Rectangle 37352"/>
                    <wps:cNvSpPr/>
                    <wps:spPr>
                      <a:xfrm>
                        <a:off x="2124710" y="2870556"/>
                        <a:ext cx="50673" cy="224379"/>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wps:txbx>
                    <wps:bodyPr horzOverflow="overflow" rtlCol="0" vert="horz" lIns="0" tIns="0" rIns="0" bIns="0">
                      <a:noAutofit/>
                    </wps:bodyPr>
                  </wps:wsp>
                  <wps:wsp>
                    <wps:cNvPr id="37353" name="Rectangle 37353"/>
                    <wps:cNvSpPr/>
                    <wps:spPr>
                      <a:xfrm>
                        <a:off x="1621790" y="3034238"/>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187329" name="Shape 187329"/>
                    <wps:cNvSpPr/>
                    <wps:spPr>
                      <a:xfrm>
                        <a:off x="7005320" y="2419350"/>
                        <a:ext cx="1868170" cy="1047115"/>
                      </a:xfrm>
                      <a:custGeom>
                        <a:pathLst>
                          <a:path w="1868170" h="1047115">
                            <a:moveTo>
                              <a:pt x="0" y="0"/>
                            </a:moveTo>
                            <a:lnTo>
                              <a:pt x="1868170" y="0"/>
                            </a:lnTo>
                            <a:lnTo>
                              <a:pt x="1868170" y="1047115"/>
                            </a:lnTo>
                            <a:lnTo>
                              <a:pt x="0" y="1047115"/>
                            </a:lnTo>
                            <a:lnTo>
                              <a:pt x="0" y="0"/>
                            </a:lnTo>
                          </a:path>
                        </a:pathLst>
                      </a:custGeom>
                      <a:ln w="0" cap="rnd">
                        <a:miter lim="101600"/>
                      </a:ln>
                    </wps:spPr>
                    <wps:style>
                      <a:lnRef idx="0">
                        <a:srgbClr val="000000">
                          <a:alpha val="0"/>
                        </a:srgbClr>
                      </a:lnRef>
                      <a:fillRef idx="1">
                        <a:srgbClr val="205867"/>
                      </a:fillRef>
                      <a:effectRef idx="0"/>
                      <a:fontRef idx="none"/>
                    </wps:style>
                    <wps:bodyPr/>
                  </wps:wsp>
                  <pic:pic xmlns:pic="http://schemas.openxmlformats.org/drawingml/2006/picture">
                    <pic:nvPicPr>
                      <pic:cNvPr id="179148" name="Picture 179148"/>
                      <pic:cNvPicPr/>
                    </pic:nvPicPr>
                    <pic:blipFill>
                      <a:blip r:embed="rId67"/>
                      <a:stretch>
                        <a:fillRect/>
                      </a:stretch>
                    </pic:blipFill>
                    <pic:spPr>
                      <a:xfrm>
                        <a:off x="6987032" y="2387727"/>
                        <a:ext cx="1874521" cy="1054608"/>
                      </a:xfrm>
                      <a:prstGeom prst="rect">
                        <a:avLst/>
                      </a:prstGeom>
                    </pic:spPr>
                  </pic:pic>
                  <wps:wsp>
                    <wps:cNvPr id="37383" name="Shape 37383"/>
                    <wps:cNvSpPr/>
                    <wps:spPr>
                      <a:xfrm>
                        <a:off x="6992620" y="2393950"/>
                        <a:ext cx="1868170" cy="1047115"/>
                      </a:xfrm>
                      <a:custGeom>
                        <a:pathLst>
                          <a:path w="1868170" h="1047115">
                            <a:moveTo>
                              <a:pt x="0" y="1047115"/>
                            </a:moveTo>
                            <a:lnTo>
                              <a:pt x="1868170" y="1047115"/>
                            </a:lnTo>
                            <a:lnTo>
                              <a:pt x="1868170"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37384" name="Rectangle 37384"/>
                    <wps:cNvSpPr/>
                    <wps:spPr>
                      <a:xfrm>
                        <a:off x="7564882" y="2448768"/>
                        <a:ext cx="47735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w:t>
                          </w:r>
                        </w:p>
                      </w:txbxContent>
                    </wps:txbx>
                    <wps:bodyPr horzOverflow="overflow" rtlCol="0" vert="horz" lIns="0" tIns="0" rIns="0" bIns="0">
                      <a:noAutofit/>
                    </wps:bodyPr>
                  </wps:wsp>
                  <wps:wsp>
                    <wps:cNvPr id="37385" name="Rectangle 37385"/>
                    <wps:cNvSpPr/>
                    <wps:spPr>
                      <a:xfrm>
                        <a:off x="7924546" y="2448768"/>
                        <a:ext cx="67902"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4</w:t>
                          </w:r>
                        </w:p>
                      </w:txbxContent>
                    </wps:txbx>
                    <wps:bodyPr horzOverflow="overflow" rtlCol="0" vert="horz" lIns="0" tIns="0" rIns="0" bIns="0">
                      <a:noAutofit/>
                    </wps:bodyPr>
                  </wps:wsp>
                  <wps:wsp>
                    <wps:cNvPr id="37386" name="Rectangle 37386"/>
                    <wps:cNvSpPr/>
                    <wps:spPr>
                      <a:xfrm>
                        <a:off x="7974838" y="2448768"/>
                        <a:ext cx="421672"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projet</w:t>
                          </w:r>
                        </w:p>
                      </w:txbxContent>
                    </wps:txbx>
                    <wps:bodyPr horzOverflow="overflow" rtlCol="0" vert="horz" lIns="0" tIns="0" rIns="0" bIns="0">
                      <a:noAutofit/>
                    </wps:bodyPr>
                  </wps:wsp>
                  <wps:wsp>
                    <wps:cNvPr id="37387" name="Rectangle 37387"/>
                    <wps:cNvSpPr/>
                    <wps:spPr>
                      <a:xfrm>
                        <a:off x="8290307"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37388" name="Rectangle 37388"/>
                    <wps:cNvSpPr/>
                    <wps:spPr>
                      <a:xfrm>
                        <a:off x="7162165" y="2564592"/>
                        <a:ext cx="2068018" cy="150334"/>
                      </a:xfrm>
                      <a:prstGeom prst="rect">
                        <a:avLst/>
                      </a:prstGeom>
                      <a:ln>
                        <a:noFill/>
                      </a:ln>
                    </wps:spPr>
                    <wps:txbx>
                      <w:txbxContent>
                        <w:p>
                          <w:pPr>
                            <w:spacing w:before="0" w:after="160" w:line="259" w:lineRule="auto"/>
                            <w:ind w:left="0" w:firstLine="0"/>
                            <w:jc w:val="left"/>
                          </w:pPr>
                          <w:r>
                            <w:rPr>
                              <w:sz w:val="16"/>
                            </w:rPr>
                            <w:t xml:space="preserve">Les CT et les communautés ont accès </w:t>
                          </w:r>
                        </w:p>
                      </w:txbxContent>
                    </wps:txbx>
                    <wps:bodyPr horzOverflow="overflow" rtlCol="0" vert="horz" lIns="0" tIns="0" rIns="0" bIns="0">
                      <a:noAutofit/>
                    </wps:bodyPr>
                  </wps:wsp>
                  <wps:wsp>
                    <wps:cNvPr id="37389" name="Rectangle 37389"/>
                    <wps:cNvSpPr/>
                    <wps:spPr>
                      <a:xfrm>
                        <a:off x="7229221" y="2680670"/>
                        <a:ext cx="1890794" cy="150334"/>
                      </a:xfrm>
                      <a:prstGeom prst="rect">
                        <a:avLst/>
                      </a:prstGeom>
                      <a:ln>
                        <a:noFill/>
                      </a:ln>
                    </wps:spPr>
                    <wps:txbx>
                      <w:txbxContent>
                        <w:p>
                          <w:pPr>
                            <w:spacing w:before="0" w:after="160" w:line="259" w:lineRule="auto"/>
                            <w:ind w:left="0" w:firstLine="0"/>
                            <w:jc w:val="left"/>
                          </w:pPr>
                          <w:r>
                            <w:rPr>
                              <w:sz w:val="16"/>
                            </w:rPr>
                            <w:t xml:space="preserve">aux sources de financement et aux </w:t>
                          </w:r>
                        </w:p>
                      </w:txbxContent>
                    </wps:txbx>
                    <wps:bodyPr horzOverflow="overflow" rtlCol="0" vert="horz" lIns="0" tIns="0" rIns="0" bIns="0">
                      <a:noAutofit/>
                    </wps:bodyPr>
                  </wps:wsp>
                  <wps:wsp>
                    <wps:cNvPr id="37390" name="Rectangle 37390"/>
                    <wps:cNvSpPr/>
                    <wps:spPr>
                      <a:xfrm>
                        <a:off x="7134733" y="2798018"/>
                        <a:ext cx="2142303" cy="150334"/>
                      </a:xfrm>
                      <a:prstGeom prst="rect">
                        <a:avLst/>
                      </a:prstGeom>
                      <a:ln>
                        <a:noFill/>
                      </a:ln>
                    </wps:spPr>
                    <wps:txbx>
                      <w:txbxContent>
                        <w:p>
                          <w:pPr>
                            <w:spacing w:before="0" w:after="160" w:line="259" w:lineRule="auto"/>
                            <w:ind w:left="0" w:firstLine="0"/>
                            <w:jc w:val="left"/>
                          </w:pPr>
                          <w:r>
                            <w:rPr>
                              <w:sz w:val="16"/>
                            </w:rPr>
                            <w:t xml:space="preserve">technologies appropriés pour mettre en </w:t>
                          </w:r>
                        </w:p>
                      </w:txbxContent>
                    </wps:txbx>
                    <wps:bodyPr horzOverflow="overflow" rtlCol="0" vert="horz" lIns="0" tIns="0" rIns="0" bIns="0">
                      <a:noAutofit/>
                    </wps:bodyPr>
                  </wps:wsp>
                  <wps:wsp>
                    <wps:cNvPr id="37391" name="Rectangle 37391"/>
                    <wps:cNvSpPr/>
                    <wps:spPr>
                      <a:xfrm>
                        <a:off x="7390765" y="2935547"/>
                        <a:ext cx="1459482" cy="123537"/>
                      </a:xfrm>
                      <a:prstGeom prst="rect">
                        <a:avLst/>
                      </a:prstGeom>
                      <a:ln>
                        <a:noFill/>
                      </a:ln>
                    </wps:spPr>
                    <wps:txbx>
                      <w:txbxContent>
                        <w:p>
                          <w:pPr>
                            <w:spacing w:before="0" w:after="160" w:line="259" w:lineRule="auto"/>
                            <w:ind w:left="0" w:firstLine="0"/>
                            <w:jc w:val="left"/>
                          </w:pPr>
                          <w:r>
                            <w:rPr>
                              <w:sz w:val="16"/>
                            </w:rPr>
                            <w:t xml:space="preserve">œuvre des plans locaux de </w:t>
                          </w:r>
                        </w:p>
                      </w:txbxContent>
                    </wps:txbx>
                    <wps:bodyPr horzOverflow="overflow" rtlCol="0" vert="horz" lIns="0" tIns="0" rIns="0" bIns="0">
                      <a:noAutofit/>
                    </wps:bodyPr>
                  </wps:wsp>
                  <wps:wsp>
                    <wps:cNvPr id="37392" name="Rectangle 37392"/>
                    <wps:cNvSpPr/>
                    <wps:spPr>
                      <a:xfrm>
                        <a:off x="7322185" y="3031190"/>
                        <a:ext cx="1644175" cy="150334"/>
                      </a:xfrm>
                      <a:prstGeom prst="rect">
                        <a:avLst/>
                      </a:prstGeom>
                      <a:ln>
                        <a:noFill/>
                      </a:ln>
                    </wps:spPr>
                    <wps:txbx>
                      <w:txbxContent>
                        <w:p>
                          <w:pPr>
                            <w:spacing w:before="0" w:after="160" w:line="259" w:lineRule="auto"/>
                            <w:ind w:left="0" w:firstLine="0"/>
                            <w:jc w:val="left"/>
                          </w:pPr>
                          <w:r>
                            <w:rPr>
                              <w:sz w:val="16"/>
                            </w:rPr>
                            <w:t xml:space="preserve">développement  résilients aux </w:t>
                          </w:r>
                        </w:p>
                      </w:txbxContent>
                    </wps:txbx>
                    <wps:bodyPr horzOverflow="overflow" rtlCol="0" vert="horz" lIns="0" tIns="0" rIns="0" bIns="0">
                      <a:noAutofit/>
                    </wps:bodyPr>
                  </wps:wsp>
                  <wps:wsp>
                    <wps:cNvPr id="37393" name="Rectangle 37393"/>
                    <wps:cNvSpPr/>
                    <wps:spPr>
                      <a:xfrm>
                        <a:off x="7095109" y="3148538"/>
                        <a:ext cx="2245785" cy="150334"/>
                      </a:xfrm>
                      <a:prstGeom prst="rect">
                        <a:avLst/>
                      </a:prstGeom>
                      <a:ln>
                        <a:noFill/>
                      </a:ln>
                    </wps:spPr>
                    <wps:txbx>
                      <w:txbxContent>
                        <w:p>
                          <w:pPr>
                            <w:spacing w:before="0" w:after="160" w:line="259" w:lineRule="auto"/>
                            <w:ind w:left="0" w:firstLine="0"/>
                            <w:jc w:val="left"/>
                          </w:pPr>
                          <w:r>
                            <w:rPr>
                              <w:sz w:val="16"/>
                            </w:rPr>
                            <w:t xml:space="preserve">changements climatiques et orientés vers </w:t>
                          </w:r>
                        </w:p>
                      </w:txbxContent>
                    </wps:txbx>
                    <wps:bodyPr horzOverflow="overflow" rtlCol="0" vert="horz" lIns="0" tIns="0" rIns="0" bIns="0">
                      <a:noAutofit/>
                    </wps:bodyPr>
                  </wps:wsp>
                  <wps:wsp>
                    <wps:cNvPr id="37394" name="Rectangle 37394"/>
                    <wps:cNvSpPr/>
                    <wps:spPr>
                      <a:xfrm>
                        <a:off x="7363333" y="3270458"/>
                        <a:ext cx="1151208" cy="150334"/>
                      </a:xfrm>
                      <a:prstGeom prst="rect">
                        <a:avLst/>
                      </a:prstGeom>
                      <a:ln>
                        <a:noFill/>
                      </a:ln>
                    </wps:spPr>
                    <wps:txbx>
                      <w:txbxContent>
                        <w:p>
                          <w:pPr>
                            <w:spacing w:before="0" w:after="160" w:line="259" w:lineRule="auto"/>
                            <w:ind w:left="0" w:firstLine="0"/>
                            <w:jc w:val="left"/>
                          </w:pPr>
                          <w:r>
                            <w:rPr>
                              <w:sz w:val="16"/>
                            </w:rPr>
                            <w:t xml:space="preserve">une faible émission d</w:t>
                          </w:r>
                        </w:p>
                      </w:txbxContent>
                    </wps:txbx>
                    <wps:bodyPr horzOverflow="overflow" rtlCol="0" vert="horz" lIns="0" tIns="0" rIns="0" bIns="0">
                      <a:noAutofit/>
                    </wps:bodyPr>
                  </wps:wsp>
                  <wps:wsp>
                    <wps:cNvPr id="37395" name="Rectangle 37395"/>
                    <wps:cNvSpPr/>
                    <wps:spPr>
                      <a:xfrm>
                        <a:off x="8230870" y="3270458"/>
                        <a:ext cx="346863" cy="150334"/>
                      </a:xfrm>
                      <a:prstGeom prst="rect">
                        <a:avLst/>
                      </a:prstGeom>
                      <a:ln>
                        <a:noFill/>
                      </a:ln>
                    </wps:spPr>
                    <wps:txbx>
                      <w:txbxContent>
                        <w:p>
                          <w:pPr>
                            <w:spacing w:before="0" w:after="160" w:line="259" w:lineRule="auto"/>
                            <w:ind w:left="0" w:firstLine="0"/>
                            <w:jc w:val="left"/>
                          </w:pPr>
                          <w:r>
                            <w:rPr>
                              <w:sz w:val="16"/>
                            </w:rPr>
                            <w:t xml:space="preserve">e GES</w:t>
                          </w:r>
                        </w:p>
                      </w:txbxContent>
                    </wps:txbx>
                    <wps:bodyPr horzOverflow="overflow" rtlCol="0" vert="horz" lIns="0" tIns="0" rIns="0" bIns="0">
                      <a:noAutofit/>
                    </wps:bodyPr>
                  </wps:wsp>
                  <wps:wsp>
                    <wps:cNvPr id="37396" name="Rectangle 37396"/>
                    <wps:cNvSpPr/>
                    <wps:spPr>
                      <a:xfrm>
                        <a:off x="8492998" y="3270458"/>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484" name="Shape 37484"/>
                    <wps:cNvSpPr/>
                    <wps:spPr>
                      <a:xfrm>
                        <a:off x="5940425" y="2216785"/>
                        <a:ext cx="1979295" cy="635"/>
                      </a:xfrm>
                      <a:custGeom>
                        <a:pathLst>
                          <a:path w="1979295" h="635">
                            <a:moveTo>
                              <a:pt x="0" y="0"/>
                            </a:moveTo>
                            <a:lnTo>
                              <a:pt x="1979295" y="635"/>
                            </a:lnTo>
                          </a:path>
                        </a:pathLst>
                      </a:custGeom>
                      <a:ln w="9525" cap="rnd">
                        <a:round/>
                      </a:ln>
                    </wps:spPr>
                    <wps:style>
                      <a:lnRef idx="1">
                        <a:srgbClr val="000000"/>
                      </a:lnRef>
                      <a:fillRef idx="0">
                        <a:srgbClr val="000000">
                          <a:alpha val="0"/>
                        </a:srgbClr>
                      </a:fillRef>
                      <a:effectRef idx="0"/>
                      <a:fontRef idx="none"/>
                    </wps:style>
                    <wps:bodyPr/>
                  </wps:wsp>
                  <wps:wsp>
                    <wps:cNvPr id="187330" name="Shape 187330"/>
                    <wps:cNvSpPr/>
                    <wps:spPr>
                      <a:xfrm>
                        <a:off x="4974590" y="2419350"/>
                        <a:ext cx="1861185" cy="1047115"/>
                      </a:xfrm>
                      <a:custGeom>
                        <a:pathLst>
                          <a:path w="1861185" h="1047115">
                            <a:moveTo>
                              <a:pt x="0" y="0"/>
                            </a:moveTo>
                            <a:lnTo>
                              <a:pt x="1861185" y="0"/>
                            </a:lnTo>
                            <a:lnTo>
                              <a:pt x="1861185" y="1047115"/>
                            </a:lnTo>
                            <a:lnTo>
                              <a:pt x="0" y="1047115"/>
                            </a:lnTo>
                            <a:lnTo>
                              <a:pt x="0" y="0"/>
                            </a:lnTo>
                          </a:path>
                        </a:pathLst>
                      </a:custGeom>
                      <a:ln w="0" cap="rnd">
                        <a:round/>
                      </a:ln>
                    </wps:spPr>
                    <wps:style>
                      <a:lnRef idx="0">
                        <a:srgbClr val="000000">
                          <a:alpha val="0"/>
                        </a:srgbClr>
                      </a:lnRef>
                      <a:fillRef idx="1">
                        <a:srgbClr val="205867"/>
                      </a:fillRef>
                      <a:effectRef idx="0"/>
                      <a:fontRef idx="none"/>
                    </wps:style>
                    <wps:bodyPr/>
                  </wps:wsp>
                  <pic:pic xmlns:pic="http://schemas.openxmlformats.org/drawingml/2006/picture">
                    <pic:nvPicPr>
                      <pic:cNvPr id="179145" name="Picture 179145"/>
                      <pic:cNvPicPr/>
                    </pic:nvPicPr>
                    <pic:blipFill>
                      <a:blip r:embed="rId68"/>
                      <a:stretch>
                        <a:fillRect/>
                      </a:stretch>
                    </pic:blipFill>
                    <pic:spPr>
                      <a:xfrm>
                        <a:off x="4955032" y="2387727"/>
                        <a:ext cx="1868424" cy="1054608"/>
                      </a:xfrm>
                      <a:prstGeom prst="rect">
                        <a:avLst/>
                      </a:prstGeom>
                    </pic:spPr>
                  </pic:pic>
                  <wps:wsp>
                    <wps:cNvPr id="37487" name="Shape 37487"/>
                    <wps:cNvSpPr/>
                    <wps:spPr>
                      <a:xfrm>
                        <a:off x="4961890" y="2393950"/>
                        <a:ext cx="1861185" cy="1047115"/>
                      </a:xfrm>
                      <a:custGeom>
                        <a:pathLst>
                          <a:path w="1861185" h="1047115">
                            <a:moveTo>
                              <a:pt x="0" y="1047115"/>
                            </a:moveTo>
                            <a:lnTo>
                              <a:pt x="1861185" y="1047115"/>
                            </a:lnTo>
                            <a:lnTo>
                              <a:pt x="1861185"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37488" name="Rectangle 37488"/>
                    <wps:cNvSpPr/>
                    <wps:spPr>
                      <a:xfrm>
                        <a:off x="5529961" y="2448768"/>
                        <a:ext cx="47735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w:t>
                          </w:r>
                        </w:p>
                      </w:txbxContent>
                    </wps:txbx>
                    <wps:bodyPr horzOverflow="overflow" rtlCol="0" vert="horz" lIns="0" tIns="0" rIns="0" bIns="0">
                      <a:noAutofit/>
                    </wps:bodyPr>
                  </wps:wsp>
                  <wps:wsp>
                    <wps:cNvPr id="37489" name="Rectangle 37489"/>
                    <wps:cNvSpPr/>
                    <wps:spPr>
                      <a:xfrm>
                        <a:off x="5889625" y="2448768"/>
                        <a:ext cx="67902"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3</w:t>
                          </w:r>
                        </w:p>
                      </w:txbxContent>
                    </wps:txbx>
                    <wps:bodyPr horzOverflow="overflow" rtlCol="0" vert="horz" lIns="0" tIns="0" rIns="0" bIns="0">
                      <a:noAutofit/>
                    </wps:bodyPr>
                  </wps:wsp>
                  <wps:wsp>
                    <wps:cNvPr id="37490" name="Rectangle 37490"/>
                    <wps:cNvSpPr/>
                    <wps:spPr>
                      <a:xfrm>
                        <a:off x="5939918" y="2448768"/>
                        <a:ext cx="68408"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37491" name="Rectangle 37491"/>
                    <wps:cNvSpPr/>
                    <wps:spPr>
                      <a:xfrm>
                        <a:off x="5991733" y="2448768"/>
                        <a:ext cx="352954"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projet</w:t>
                          </w:r>
                        </w:p>
                      </w:txbxContent>
                    </wps:txbx>
                    <wps:bodyPr horzOverflow="overflow" rtlCol="0" vert="horz" lIns="0" tIns="0" rIns="0" bIns="0">
                      <a:noAutofit/>
                    </wps:bodyPr>
                  </wps:wsp>
                  <wps:wsp>
                    <wps:cNvPr id="37492" name="Rectangle 37492"/>
                    <wps:cNvSpPr/>
                    <wps:spPr>
                      <a:xfrm>
                        <a:off x="6255385"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37493" name="Rectangle 37493"/>
                    <wps:cNvSpPr/>
                    <wps:spPr>
                      <a:xfrm>
                        <a:off x="5167249" y="2564592"/>
                        <a:ext cx="82954" cy="150334"/>
                      </a:xfrm>
                      <a:prstGeom prst="rect">
                        <a:avLst/>
                      </a:prstGeom>
                      <a:ln>
                        <a:noFill/>
                      </a:ln>
                    </wps:spPr>
                    <wps:txbx>
                      <w:txbxContent>
                        <w:p>
                          <w:pPr>
                            <w:spacing w:before="0" w:after="160" w:line="259" w:lineRule="auto"/>
                            <w:ind w:left="0" w:firstLine="0"/>
                            <w:jc w:val="left"/>
                          </w:pPr>
                          <w:r>
                            <w:rPr>
                              <w:sz w:val="16"/>
                            </w:rPr>
                            <w:t xml:space="preserve">L</w:t>
                          </w:r>
                        </w:p>
                      </w:txbxContent>
                    </wps:txbx>
                    <wps:bodyPr horzOverflow="overflow" rtlCol="0" vert="horz" lIns="0" tIns="0" rIns="0" bIns="0">
                      <a:noAutofit/>
                    </wps:bodyPr>
                  </wps:wsp>
                  <wps:wsp>
                    <wps:cNvPr id="37494" name="Rectangle 37494"/>
                    <wps:cNvSpPr/>
                    <wps:spPr>
                      <a:xfrm>
                        <a:off x="5228209" y="2564592"/>
                        <a:ext cx="1915238" cy="150334"/>
                      </a:xfrm>
                      <a:prstGeom prst="rect">
                        <a:avLst/>
                      </a:prstGeom>
                      <a:ln>
                        <a:noFill/>
                      </a:ln>
                    </wps:spPr>
                    <wps:txbx>
                      <w:txbxContent>
                        <w:p>
                          <w:pPr>
                            <w:spacing w:before="0" w:after="160" w:line="259" w:lineRule="auto"/>
                            <w:ind w:left="0" w:firstLine="0"/>
                            <w:jc w:val="left"/>
                          </w:pPr>
                          <w:r>
                            <w:rPr>
                              <w:sz w:val="16"/>
                            </w:rPr>
                            <w:t xml:space="preserve">es plans locaux de développement  </w:t>
                          </w:r>
                        </w:p>
                      </w:txbxContent>
                    </wps:txbx>
                    <wps:bodyPr horzOverflow="overflow" rtlCol="0" vert="horz" lIns="0" tIns="0" rIns="0" bIns="0">
                      <a:noAutofit/>
                    </wps:bodyPr>
                  </wps:wsp>
                  <wps:wsp>
                    <wps:cNvPr id="37495" name="Rectangle 37495"/>
                    <wps:cNvSpPr/>
                    <wps:spPr>
                      <a:xfrm>
                        <a:off x="5100193" y="2680670"/>
                        <a:ext cx="653487" cy="150334"/>
                      </a:xfrm>
                      <a:prstGeom prst="rect">
                        <a:avLst/>
                      </a:prstGeom>
                      <a:ln>
                        <a:noFill/>
                      </a:ln>
                    </wps:spPr>
                    <wps:txbx>
                      <w:txbxContent>
                        <w:p>
                          <w:pPr>
                            <w:spacing w:before="0" w:after="160" w:line="259" w:lineRule="auto"/>
                            <w:ind w:left="0" w:firstLine="0"/>
                            <w:jc w:val="left"/>
                          </w:pPr>
                          <w:r>
                            <w:rPr>
                              <w:sz w:val="16"/>
                            </w:rPr>
                            <w:t xml:space="preserve">sont rendus </w:t>
                          </w:r>
                        </w:p>
                      </w:txbxContent>
                    </wps:txbx>
                    <wps:bodyPr horzOverflow="overflow" rtlCol="0" vert="horz" lIns="0" tIns="0" rIns="0" bIns="0">
                      <a:noAutofit/>
                    </wps:bodyPr>
                  </wps:wsp>
                  <wps:wsp>
                    <wps:cNvPr id="37496" name="Rectangle 37496"/>
                    <wps:cNvSpPr/>
                    <wps:spPr>
                      <a:xfrm>
                        <a:off x="5592445" y="2680670"/>
                        <a:ext cx="1488272" cy="150334"/>
                      </a:xfrm>
                      <a:prstGeom prst="rect">
                        <a:avLst/>
                      </a:prstGeom>
                      <a:ln>
                        <a:noFill/>
                      </a:ln>
                    </wps:spPr>
                    <wps:txbx>
                      <w:txbxContent>
                        <w:p>
                          <w:pPr>
                            <w:spacing w:before="0" w:after="160" w:line="259" w:lineRule="auto"/>
                            <w:ind w:left="0" w:firstLine="0"/>
                            <w:jc w:val="left"/>
                          </w:pPr>
                          <w:r>
                            <w:rPr>
                              <w:sz w:val="16"/>
                            </w:rPr>
                            <w:t xml:space="preserve">résilients aux changements </w:t>
                          </w:r>
                        </w:p>
                      </w:txbxContent>
                    </wps:txbx>
                    <wps:bodyPr horzOverflow="overflow" rtlCol="0" vert="horz" lIns="0" tIns="0" rIns="0" bIns="0">
                      <a:noAutofit/>
                    </wps:bodyPr>
                  </wps:wsp>
                  <wps:wsp>
                    <wps:cNvPr id="37497" name="Rectangle 37497"/>
                    <wps:cNvSpPr/>
                    <wps:spPr>
                      <a:xfrm>
                        <a:off x="5155057" y="2798018"/>
                        <a:ext cx="789562" cy="150334"/>
                      </a:xfrm>
                      <a:prstGeom prst="rect">
                        <a:avLst/>
                      </a:prstGeom>
                      <a:ln>
                        <a:noFill/>
                      </a:ln>
                    </wps:spPr>
                    <wps:txbx>
                      <w:txbxContent>
                        <w:p>
                          <w:pPr>
                            <w:spacing w:before="0" w:after="160" w:line="259" w:lineRule="auto"/>
                            <w:ind w:left="0" w:firstLine="0"/>
                            <w:jc w:val="left"/>
                          </w:pPr>
                          <w:r>
                            <w:rPr>
                              <w:sz w:val="16"/>
                            </w:rPr>
                            <w:t xml:space="preserve">climatiques et </w:t>
                          </w:r>
                        </w:p>
                      </w:txbxContent>
                    </wps:txbx>
                    <wps:bodyPr horzOverflow="overflow" rtlCol="0" vert="horz" lIns="0" tIns="0" rIns="0" bIns="0">
                      <a:noAutofit/>
                    </wps:bodyPr>
                  </wps:wsp>
                  <wps:wsp>
                    <wps:cNvPr id="37498" name="Rectangle 37498"/>
                    <wps:cNvSpPr/>
                    <wps:spPr>
                      <a:xfrm>
                        <a:off x="5749418" y="2798018"/>
                        <a:ext cx="258706" cy="150334"/>
                      </a:xfrm>
                      <a:prstGeom prst="rect">
                        <a:avLst/>
                      </a:prstGeom>
                      <a:ln>
                        <a:noFill/>
                      </a:ln>
                    </wps:spPr>
                    <wps:txbx>
                      <w:txbxContent>
                        <w:p>
                          <w:pPr>
                            <w:spacing w:before="0" w:after="160" w:line="259" w:lineRule="auto"/>
                            <w:ind w:left="0" w:firstLine="0"/>
                            <w:jc w:val="left"/>
                          </w:pPr>
                          <w:r>
                            <w:rPr>
                              <w:sz w:val="16"/>
                            </w:rPr>
                            <w:t xml:space="preserve">sont </w:t>
                          </w:r>
                        </w:p>
                      </w:txbxContent>
                    </wps:txbx>
                    <wps:bodyPr horzOverflow="overflow" rtlCol="0" vert="horz" lIns="0" tIns="0" rIns="0" bIns="0">
                      <a:noAutofit/>
                    </wps:bodyPr>
                  </wps:wsp>
                  <wps:wsp>
                    <wps:cNvPr id="37499" name="Rectangle 37499"/>
                    <wps:cNvSpPr/>
                    <wps:spPr>
                      <a:xfrm>
                        <a:off x="5944489" y="2798018"/>
                        <a:ext cx="947638" cy="150334"/>
                      </a:xfrm>
                      <a:prstGeom prst="rect">
                        <a:avLst/>
                      </a:prstGeom>
                      <a:ln>
                        <a:noFill/>
                      </a:ln>
                    </wps:spPr>
                    <wps:txbx>
                      <w:txbxContent>
                        <w:p>
                          <w:pPr>
                            <w:spacing w:before="0" w:after="160" w:line="259" w:lineRule="auto"/>
                            <w:ind w:left="0" w:firstLine="0"/>
                            <w:jc w:val="left"/>
                          </w:pPr>
                          <w:r>
                            <w:rPr>
                              <w:sz w:val="16"/>
                            </w:rPr>
                            <w:t xml:space="preserve">orientés vers une </w:t>
                          </w:r>
                        </w:p>
                      </w:txbxContent>
                    </wps:txbx>
                    <wps:bodyPr horzOverflow="overflow" rtlCol="0" vert="horz" lIns="0" tIns="0" rIns="0" bIns="0">
                      <a:noAutofit/>
                    </wps:bodyPr>
                  </wps:wsp>
                  <wps:wsp>
                    <wps:cNvPr id="37500" name="Rectangle 37500"/>
                    <wps:cNvSpPr/>
                    <wps:spPr>
                      <a:xfrm>
                        <a:off x="5127625" y="2915366"/>
                        <a:ext cx="1018256" cy="150334"/>
                      </a:xfrm>
                      <a:prstGeom prst="rect">
                        <a:avLst/>
                      </a:prstGeom>
                      <a:ln>
                        <a:noFill/>
                      </a:ln>
                    </wps:spPr>
                    <wps:txbx>
                      <w:txbxContent>
                        <w:p>
                          <w:pPr>
                            <w:spacing w:before="0" w:after="160" w:line="259" w:lineRule="auto"/>
                            <w:ind w:left="0" w:firstLine="0"/>
                            <w:jc w:val="left"/>
                          </w:pPr>
                          <w:r>
                            <w:rPr>
                              <w:sz w:val="16"/>
                            </w:rPr>
                            <w:t xml:space="preserve">faible émission de </w:t>
                          </w:r>
                        </w:p>
                      </w:txbxContent>
                    </wps:txbx>
                    <wps:bodyPr horzOverflow="overflow" rtlCol="0" vert="horz" lIns="0" tIns="0" rIns="0" bIns="0">
                      <a:noAutofit/>
                    </wps:bodyPr>
                  </wps:wsp>
                  <wps:wsp>
                    <wps:cNvPr id="37501" name="Rectangle 37501"/>
                    <wps:cNvSpPr/>
                    <wps:spPr>
                      <a:xfrm>
                        <a:off x="5894197" y="2915366"/>
                        <a:ext cx="1016198" cy="150334"/>
                      </a:xfrm>
                      <a:prstGeom prst="rect">
                        <a:avLst/>
                      </a:prstGeom>
                      <a:ln>
                        <a:noFill/>
                      </a:ln>
                    </wps:spPr>
                    <wps:txbx>
                      <w:txbxContent>
                        <w:p>
                          <w:pPr>
                            <w:spacing w:before="0" w:after="160" w:line="259" w:lineRule="auto"/>
                            <w:ind w:left="0" w:firstLine="0"/>
                            <w:jc w:val="left"/>
                          </w:pPr>
                          <w:r>
                            <w:rPr>
                              <w:sz w:val="16"/>
                            </w:rPr>
                            <w:t xml:space="preserve">gaz à effet de serre</w:t>
                          </w:r>
                        </w:p>
                      </w:txbxContent>
                    </wps:txbx>
                    <wps:bodyPr horzOverflow="overflow" rtlCol="0" vert="horz" lIns="0" tIns="0" rIns="0" bIns="0">
                      <a:noAutofit/>
                    </wps:bodyPr>
                  </wps:wsp>
                  <wps:wsp>
                    <wps:cNvPr id="37502" name="Rectangle 37502"/>
                    <wps:cNvSpPr/>
                    <wps:spPr>
                      <a:xfrm>
                        <a:off x="6657721" y="2915366"/>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503" name="Rectangle 37503"/>
                    <wps:cNvSpPr/>
                    <wps:spPr>
                      <a:xfrm>
                        <a:off x="5764657" y="3035762"/>
                        <a:ext cx="45223" cy="150334"/>
                      </a:xfrm>
                      <a:prstGeom prst="rect">
                        <a:avLst/>
                      </a:prstGeom>
                      <a:ln>
                        <a:noFill/>
                      </a:ln>
                    </wps:spPr>
                    <wps:txbx>
                      <w:txbxContent>
                        <w:p>
                          <w:pPr>
                            <w:spacing w:before="0" w:after="160" w:line="259" w:lineRule="auto"/>
                            <w:ind w:left="0" w:firstLine="0"/>
                            <w:jc w:val="left"/>
                          </w:pPr>
                          <w:r>
                            <w:rPr>
                              <w:sz w:val="16"/>
                            </w:rPr>
                            <w:t xml:space="preserve">(</w:t>
                          </w:r>
                        </w:p>
                      </w:txbxContent>
                    </wps:txbx>
                    <wps:bodyPr horzOverflow="overflow" rtlCol="0" vert="horz" lIns="0" tIns="0" rIns="0" bIns="0">
                      <a:noAutofit/>
                    </wps:bodyPr>
                  </wps:wsp>
                  <wps:wsp>
                    <wps:cNvPr id="37504" name="Rectangle 37504"/>
                    <wps:cNvSpPr/>
                    <wps:spPr>
                      <a:xfrm>
                        <a:off x="5798185" y="3035762"/>
                        <a:ext cx="253702" cy="150334"/>
                      </a:xfrm>
                      <a:prstGeom prst="rect">
                        <a:avLst/>
                      </a:prstGeom>
                      <a:ln>
                        <a:noFill/>
                      </a:ln>
                    </wps:spPr>
                    <wps:txbx>
                      <w:txbxContent>
                        <w:p>
                          <w:pPr>
                            <w:spacing w:before="0" w:after="160" w:line="259" w:lineRule="auto"/>
                            <w:ind w:left="0" w:firstLine="0"/>
                            <w:jc w:val="left"/>
                          </w:pPr>
                          <w:r>
                            <w:rPr>
                              <w:sz w:val="16"/>
                            </w:rPr>
                            <w:t xml:space="preserve">GES</w:t>
                          </w:r>
                        </w:p>
                      </w:txbxContent>
                    </wps:txbx>
                    <wps:bodyPr horzOverflow="overflow" rtlCol="0" vert="horz" lIns="0" tIns="0" rIns="0" bIns="0">
                      <a:noAutofit/>
                    </wps:bodyPr>
                  </wps:wsp>
                  <wps:wsp>
                    <wps:cNvPr id="37505" name="Rectangle 37505"/>
                    <wps:cNvSpPr/>
                    <wps:spPr>
                      <a:xfrm>
                        <a:off x="5988685" y="3035762"/>
                        <a:ext cx="45223" cy="150334"/>
                      </a:xfrm>
                      <a:prstGeom prst="rect">
                        <a:avLst/>
                      </a:prstGeom>
                      <a:ln>
                        <a:noFill/>
                      </a:ln>
                    </wps:spPr>
                    <wps:txbx>
                      <w:txbxContent>
                        <w:p>
                          <w:pPr>
                            <w:spacing w:before="0" w:after="160" w:line="259" w:lineRule="auto"/>
                            <w:ind w:left="0" w:firstLine="0"/>
                            <w:jc w:val="left"/>
                          </w:pPr>
                          <w:r>
                            <w:rPr>
                              <w:sz w:val="16"/>
                            </w:rPr>
                            <w:t xml:space="preserve">)</w:t>
                          </w:r>
                        </w:p>
                      </w:txbxContent>
                    </wps:txbx>
                    <wps:bodyPr horzOverflow="overflow" rtlCol="0" vert="horz" lIns="0" tIns="0" rIns="0" bIns="0">
                      <a:noAutofit/>
                    </wps:bodyPr>
                  </wps:wsp>
                  <wps:wsp>
                    <wps:cNvPr id="37506" name="Rectangle 37506"/>
                    <wps:cNvSpPr/>
                    <wps:spPr>
                      <a:xfrm>
                        <a:off x="6022213" y="3035762"/>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507" name="Rectangle 37507"/>
                    <wps:cNvSpPr/>
                    <wps:spPr>
                      <a:xfrm>
                        <a:off x="6049645" y="3035762"/>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508" name="Shape 37508"/>
                    <wps:cNvSpPr/>
                    <wps:spPr>
                      <a:xfrm>
                        <a:off x="2528570" y="2084705"/>
                        <a:ext cx="635" cy="188595"/>
                      </a:xfrm>
                      <a:custGeom>
                        <a:pathLst>
                          <a:path w="635" h="188595">
                            <a:moveTo>
                              <a:pt x="0" y="0"/>
                            </a:moveTo>
                            <a:lnTo>
                              <a:pt x="635" y="188595"/>
                            </a:lnTo>
                          </a:path>
                        </a:pathLst>
                      </a:custGeom>
                      <a:ln w="9525" cap="rnd">
                        <a:round/>
                      </a:ln>
                    </wps:spPr>
                    <wps:style>
                      <a:lnRef idx="1">
                        <a:srgbClr val="000000"/>
                      </a:lnRef>
                      <a:fillRef idx="0">
                        <a:srgbClr val="000000">
                          <a:alpha val="0"/>
                        </a:srgbClr>
                      </a:fillRef>
                      <a:effectRef idx="0"/>
                      <a:fontRef idx="none"/>
                    </wps:style>
                    <wps:bodyPr/>
                  </wps:wsp>
                  <wps:wsp>
                    <wps:cNvPr id="37509" name="Shape 37509"/>
                    <wps:cNvSpPr/>
                    <wps:spPr>
                      <a:xfrm>
                        <a:off x="6822440" y="1997710"/>
                        <a:ext cx="635" cy="219075"/>
                      </a:xfrm>
                      <a:custGeom>
                        <a:pathLst>
                          <a:path w="635" h="219075">
                            <a:moveTo>
                              <a:pt x="0" y="0"/>
                            </a:moveTo>
                            <a:lnTo>
                              <a:pt x="635" y="219075"/>
                            </a:lnTo>
                          </a:path>
                        </a:pathLst>
                      </a:custGeom>
                      <a:ln w="9525" cap="rnd">
                        <a:round/>
                      </a:ln>
                    </wps:spPr>
                    <wps:style>
                      <a:lnRef idx="1">
                        <a:srgbClr val="000000"/>
                      </a:lnRef>
                      <a:fillRef idx="0">
                        <a:srgbClr val="000000">
                          <a:alpha val="0"/>
                        </a:srgbClr>
                      </a:fillRef>
                      <a:effectRef idx="0"/>
                      <a:fontRef idx="none"/>
                    </wps:style>
                    <wps:bodyPr/>
                  </wps:wsp>
                  <wps:wsp>
                    <wps:cNvPr id="37510" name="Shape 37510"/>
                    <wps:cNvSpPr/>
                    <wps:spPr>
                      <a:xfrm>
                        <a:off x="7919720" y="2217420"/>
                        <a:ext cx="636" cy="176530"/>
                      </a:xfrm>
                      <a:custGeom>
                        <a:pathLst>
                          <a:path w="636" h="176530">
                            <a:moveTo>
                              <a:pt x="0" y="0"/>
                            </a:moveTo>
                            <a:lnTo>
                              <a:pt x="636" y="176530"/>
                            </a:lnTo>
                          </a:path>
                        </a:pathLst>
                      </a:custGeom>
                      <a:ln w="9525" cap="rnd">
                        <a:round/>
                      </a:ln>
                    </wps:spPr>
                    <wps:style>
                      <a:lnRef idx="1">
                        <a:srgbClr val="000000"/>
                      </a:lnRef>
                      <a:fillRef idx="0">
                        <a:srgbClr val="000000">
                          <a:alpha val="0"/>
                        </a:srgbClr>
                      </a:fillRef>
                      <a:effectRef idx="0"/>
                      <a:fontRef idx="none"/>
                    </wps:style>
                    <wps:bodyPr/>
                  </wps:wsp>
                  <wps:wsp>
                    <wps:cNvPr id="187331" name="Shape 187331"/>
                    <wps:cNvSpPr/>
                    <wps:spPr>
                      <a:xfrm>
                        <a:off x="2789555" y="2419350"/>
                        <a:ext cx="1908810" cy="1047115"/>
                      </a:xfrm>
                      <a:custGeom>
                        <a:pathLst>
                          <a:path w="1908810" h="1047115">
                            <a:moveTo>
                              <a:pt x="0" y="0"/>
                            </a:moveTo>
                            <a:lnTo>
                              <a:pt x="1908810" y="0"/>
                            </a:lnTo>
                            <a:lnTo>
                              <a:pt x="1908810" y="1047115"/>
                            </a:lnTo>
                            <a:lnTo>
                              <a:pt x="0" y="1047115"/>
                            </a:lnTo>
                            <a:lnTo>
                              <a:pt x="0" y="0"/>
                            </a:lnTo>
                          </a:path>
                        </a:pathLst>
                      </a:custGeom>
                      <a:ln w="0" cap="rnd">
                        <a:round/>
                      </a:ln>
                    </wps:spPr>
                    <wps:style>
                      <a:lnRef idx="0">
                        <a:srgbClr val="000000">
                          <a:alpha val="0"/>
                        </a:srgbClr>
                      </a:lnRef>
                      <a:fillRef idx="1">
                        <a:srgbClr val="205867"/>
                      </a:fillRef>
                      <a:effectRef idx="0"/>
                      <a:fontRef idx="none"/>
                    </wps:style>
                    <wps:bodyPr/>
                  </wps:wsp>
                  <pic:pic xmlns:pic="http://schemas.openxmlformats.org/drawingml/2006/picture">
                    <pic:nvPicPr>
                      <pic:cNvPr id="179146" name="Picture 179146"/>
                      <pic:cNvPicPr/>
                    </pic:nvPicPr>
                    <pic:blipFill>
                      <a:blip r:embed="rId69"/>
                      <a:stretch>
                        <a:fillRect/>
                      </a:stretch>
                    </pic:blipFill>
                    <pic:spPr>
                      <a:xfrm>
                        <a:off x="2773680" y="2387727"/>
                        <a:ext cx="1914144" cy="1054608"/>
                      </a:xfrm>
                      <a:prstGeom prst="rect">
                        <a:avLst/>
                      </a:prstGeom>
                    </pic:spPr>
                  </pic:pic>
                  <wps:wsp>
                    <wps:cNvPr id="37513" name="Shape 37513"/>
                    <wps:cNvSpPr/>
                    <wps:spPr>
                      <a:xfrm>
                        <a:off x="2776855" y="2393950"/>
                        <a:ext cx="1908810" cy="1047115"/>
                      </a:xfrm>
                      <a:custGeom>
                        <a:pathLst>
                          <a:path w="1908810" h="1047115">
                            <a:moveTo>
                              <a:pt x="0" y="1047115"/>
                            </a:moveTo>
                            <a:lnTo>
                              <a:pt x="1908810" y="1047115"/>
                            </a:lnTo>
                            <a:lnTo>
                              <a:pt x="1908810" y="0"/>
                            </a:lnTo>
                            <a:lnTo>
                              <a:pt x="0" y="0"/>
                            </a:lnTo>
                            <a:close/>
                          </a:path>
                        </a:pathLst>
                      </a:custGeom>
                      <a:ln w="12700" cap="rnd">
                        <a:miter lim="101600"/>
                      </a:ln>
                    </wps:spPr>
                    <wps:style>
                      <a:lnRef idx="1">
                        <a:srgbClr val="4bacc6"/>
                      </a:lnRef>
                      <a:fillRef idx="0">
                        <a:srgbClr val="000000">
                          <a:alpha val="0"/>
                        </a:srgbClr>
                      </a:fillRef>
                      <a:effectRef idx="0"/>
                      <a:fontRef idx="none"/>
                    </wps:style>
                    <wps:bodyPr/>
                  </wps:wsp>
                  <wps:wsp>
                    <wps:cNvPr id="37514" name="Rectangle 37514"/>
                    <wps:cNvSpPr/>
                    <wps:spPr>
                      <a:xfrm>
                        <a:off x="3368675" y="2448768"/>
                        <a:ext cx="966380"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Produit 2. projet</w:t>
                          </w:r>
                        </w:p>
                      </w:txbxContent>
                    </wps:txbx>
                    <wps:bodyPr horzOverflow="overflow" rtlCol="0" vert="horz" lIns="0" tIns="0" rIns="0" bIns="0">
                      <a:noAutofit/>
                    </wps:bodyPr>
                  </wps:wsp>
                  <wps:wsp>
                    <wps:cNvPr id="37515" name="Rectangle 37515"/>
                    <wps:cNvSpPr/>
                    <wps:spPr>
                      <a:xfrm>
                        <a:off x="4094099" y="2448768"/>
                        <a:ext cx="33951" cy="150334"/>
                      </a:xfrm>
                      <a:prstGeom prst="rect">
                        <a:avLst/>
                      </a:prstGeom>
                      <a:ln>
                        <a:noFill/>
                      </a:ln>
                    </wps:spPr>
                    <wps:txbx>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wps:txbx>
                    <wps:bodyPr horzOverflow="overflow" rtlCol="0" vert="horz" lIns="0" tIns="0" rIns="0" bIns="0">
                      <a:noAutofit/>
                    </wps:bodyPr>
                  </wps:wsp>
                  <wps:wsp>
                    <wps:cNvPr id="37516" name="Rectangle 37516"/>
                    <wps:cNvSpPr/>
                    <wps:spPr>
                      <a:xfrm>
                        <a:off x="2951099" y="2584773"/>
                        <a:ext cx="2108351" cy="123537"/>
                      </a:xfrm>
                      <a:prstGeom prst="rect">
                        <a:avLst/>
                      </a:prstGeom>
                      <a:ln>
                        <a:noFill/>
                      </a:ln>
                    </wps:spPr>
                    <wps:txbx>
                      <w:txbxContent>
                        <w:p>
                          <w:pPr>
                            <w:spacing w:before="0" w:after="160" w:line="259" w:lineRule="auto"/>
                            <w:ind w:left="0" w:firstLine="0"/>
                            <w:jc w:val="left"/>
                          </w:pPr>
                          <w:r>
                            <w:rPr>
                              <w:sz w:val="16"/>
                            </w:rPr>
                            <w:t xml:space="preserve">Les informations pertinentes sur l‟état de </w:t>
                          </w:r>
                        </w:p>
                      </w:txbxContent>
                    </wps:txbx>
                    <wps:bodyPr horzOverflow="overflow" rtlCol="0" vert="horz" lIns="0" tIns="0" rIns="0" bIns="0">
                      <a:noAutofit/>
                    </wps:bodyPr>
                  </wps:wsp>
                  <wps:wsp>
                    <wps:cNvPr id="37517" name="Rectangle 37517"/>
                    <wps:cNvSpPr/>
                    <wps:spPr>
                      <a:xfrm>
                        <a:off x="3050159" y="2700850"/>
                        <a:ext cx="1846794" cy="123537"/>
                      </a:xfrm>
                      <a:prstGeom prst="rect">
                        <a:avLst/>
                      </a:prstGeom>
                      <a:ln>
                        <a:noFill/>
                      </a:ln>
                    </wps:spPr>
                    <wps:txbx>
                      <w:txbxContent>
                        <w:p>
                          <w:pPr>
                            <w:spacing w:before="0" w:after="160" w:line="259" w:lineRule="auto"/>
                            <w:ind w:left="0" w:firstLine="0"/>
                            <w:jc w:val="left"/>
                          </w:pPr>
                          <w:r>
                            <w:rPr>
                              <w:sz w:val="16"/>
                            </w:rPr>
                            <w:t xml:space="preserve">l‟environnement sont disponibles et </w:t>
                          </w:r>
                        </w:p>
                      </w:txbxContent>
                    </wps:txbx>
                    <wps:bodyPr horzOverflow="overflow" rtlCol="0" vert="horz" lIns="0" tIns="0" rIns="0" bIns="0">
                      <a:noAutofit/>
                    </wps:bodyPr>
                  </wps:wsp>
                  <wps:wsp>
                    <wps:cNvPr id="37518" name="Rectangle 37518"/>
                    <wps:cNvSpPr/>
                    <wps:spPr>
                      <a:xfrm>
                        <a:off x="2929763" y="2818199"/>
                        <a:ext cx="1108429" cy="123537"/>
                      </a:xfrm>
                      <a:prstGeom prst="rect">
                        <a:avLst/>
                      </a:prstGeom>
                      <a:ln>
                        <a:noFill/>
                      </a:ln>
                    </wps:spPr>
                    <wps:txbx>
                      <w:txbxContent>
                        <w:p>
                          <w:pPr>
                            <w:spacing w:before="0" w:after="160" w:line="259" w:lineRule="auto"/>
                            <w:ind w:left="0" w:firstLine="0"/>
                            <w:jc w:val="left"/>
                          </w:pPr>
                          <w:r>
                            <w:rPr>
                              <w:sz w:val="16"/>
                            </w:rPr>
                            <w:t xml:space="preserve">permettent d‟assurer l</w:t>
                          </w:r>
                        </w:p>
                      </w:txbxContent>
                    </wps:txbx>
                    <wps:bodyPr horzOverflow="overflow" rtlCol="0" vert="horz" lIns="0" tIns="0" rIns="0" bIns="0">
                      <a:noAutofit/>
                    </wps:bodyPr>
                  </wps:wsp>
                  <wps:wsp>
                    <wps:cNvPr id="37519" name="Rectangle 37519"/>
                    <wps:cNvSpPr/>
                    <wps:spPr>
                      <a:xfrm>
                        <a:off x="3760343" y="2798018"/>
                        <a:ext cx="1061985" cy="150334"/>
                      </a:xfrm>
                      <a:prstGeom prst="rect">
                        <a:avLst/>
                      </a:prstGeom>
                      <a:ln>
                        <a:noFill/>
                      </a:ln>
                    </wps:spPr>
                    <wps:txbx>
                      <w:txbxContent>
                        <w:p>
                          <w:pPr>
                            <w:spacing w:before="0" w:after="160" w:line="259" w:lineRule="auto"/>
                            <w:ind w:left="0" w:firstLine="0"/>
                            <w:jc w:val="left"/>
                          </w:pPr>
                          <w:r>
                            <w:rPr>
                              <w:sz w:val="16"/>
                            </w:rPr>
                            <w:t xml:space="preserve">e suivi de la mise en </w:t>
                          </w:r>
                        </w:p>
                      </w:txbxContent>
                    </wps:txbx>
                    <wps:bodyPr horzOverflow="overflow" rtlCol="0" vert="horz" lIns="0" tIns="0" rIns="0" bIns="0">
                      <a:noAutofit/>
                    </wps:bodyPr>
                  </wps:wsp>
                  <wps:wsp>
                    <wps:cNvPr id="37520" name="Rectangle 37520"/>
                    <wps:cNvSpPr/>
                    <wps:spPr>
                      <a:xfrm>
                        <a:off x="2900807" y="2935547"/>
                        <a:ext cx="2048191" cy="123537"/>
                      </a:xfrm>
                      <a:prstGeom prst="rect">
                        <a:avLst/>
                      </a:prstGeom>
                      <a:ln>
                        <a:noFill/>
                      </a:ln>
                    </wps:spPr>
                    <wps:txbx>
                      <w:txbxContent>
                        <w:p>
                          <w:pPr>
                            <w:spacing w:before="0" w:after="160" w:line="259" w:lineRule="auto"/>
                            <w:ind w:left="0" w:firstLine="0"/>
                            <w:jc w:val="left"/>
                          </w:pPr>
                          <w:r>
                            <w:rPr>
                              <w:sz w:val="16"/>
                            </w:rPr>
                            <w:t xml:space="preserve">œuvre des politiques environnementales</w:t>
                          </w:r>
                        </w:p>
                      </w:txbxContent>
                    </wps:txbx>
                    <wps:bodyPr horzOverflow="overflow" rtlCol="0" vert="horz" lIns="0" tIns="0" rIns="0" bIns="0">
                      <a:noAutofit/>
                    </wps:bodyPr>
                  </wps:wsp>
                  <wps:wsp>
                    <wps:cNvPr id="37521" name="Rectangle 37521"/>
                    <wps:cNvSpPr/>
                    <wps:spPr>
                      <a:xfrm>
                        <a:off x="4438523" y="2915366"/>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522" name="Rectangle 37522"/>
                    <wps:cNvSpPr/>
                    <wps:spPr>
                      <a:xfrm>
                        <a:off x="4464431" y="2915366"/>
                        <a:ext cx="161606" cy="150334"/>
                      </a:xfrm>
                      <a:prstGeom prst="rect">
                        <a:avLst/>
                      </a:prstGeom>
                      <a:ln>
                        <a:noFill/>
                      </a:ln>
                    </wps:spPr>
                    <wps:txbx>
                      <w:txbxContent>
                        <w:p>
                          <w:pPr>
                            <w:spacing w:before="0" w:after="160" w:line="259" w:lineRule="auto"/>
                            <w:ind w:left="0" w:firstLine="0"/>
                            <w:jc w:val="left"/>
                          </w:pPr>
                          <w:r>
                            <w:rPr>
                              <w:sz w:val="16"/>
                            </w:rPr>
                            <w:t xml:space="preserve">au </w:t>
                          </w:r>
                        </w:p>
                      </w:txbxContent>
                    </wps:txbx>
                    <wps:bodyPr horzOverflow="overflow" rtlCol="0" vert="horz" lIns="0" tIns="0" rIns="0" bIns="0">
                      <a:noAutofit/>
                    </wps:bodyPr>
                  </wps:wsp>
                  <wps:wsp>
                    <wps:cNvPr id="37523" name="Rectangle 37523"/>
                    <wps:cNvSpPr/>
                    <wps:spPr>
                      <a:xfrm>
                        <a:off x="3339719" y="3035762"/>
                        <a:ext cx="1040643" cy="150334"/>
                      </a:xfrm>
                      <a:prstGeom prst="rect">
                        <a:avLst/>
                      </a:prstGeom>
                      <a:ln>
                        <a:noFill/>
                      </a:ln>
                    </wps:spPr>
                    <wps:txbx>
                      <w:txbxContent>
                        <w:p>
                          <w:pPr>
                            <w:spacing w:before="0" w:after="160" w:line="259" w:lineRule="auto"/>
                            <w:ind w:left="0" w:firstLine="0"/>
                            <w:jc w:val="left"/>
                          </w:pPr>
                          <w:r>
                            <w:rPr>
                              <w:sz w:val="16"/>
                            </w:rPr>
                            <w:t xml:space="preserve">niveau décentralisé</w:t>
                          </w:r>
                        </w:p>
                      </w:txbxContent>
                    </wps:txbx>
                    <wps:bodyPr horzOverflow="overflow" rtlCol="0" vert="horz" lIns="0" tIns="0" rIns="0" bIns="0">
                      <a:noAutofit/>
                    </wps:bodyPr>
                  </wps:wsp>
                  <wps:wsp>
                    <wps:cNvPr id="37524" name="Rectangle 37524"/>
                    <wps:cNvSpPr/>
                    <wps:spPr>
                      <a:xfrm>
                        <a:off x="4121531" y="3035762"/>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525" name="Shape 37525"/>
                    <wps:cNvSpPr/>
                    <wps:spPr>
                      <a:xfrm>
                        <a:off x="3601085" y="2273300"/>
                        <a:ext cx="635" cy="120650"/>
                      </a:xfrm>
                      <a:custGeom>
                        <a:pathLst>
                          <a:path w="635" h="120650">
                            <a:moveTo>
                              <a:pt x="0" y="0"/>
                            </a:moveTo>
                            <a:lnTo>
                              <a:pt x="635" y="120650"/>
                            </a:lnTo>
                          </a:path>
                        </a:pathLst>
                      </a:custGeom>
                      <a:ln w="9525" cap="rnd">
                        <a:round/>
                      </a:ln>
                    </wps:spPr>
                    <wps:style>
                      <a:lnRef idx="1">
                        <a:srgbClr val="000000"/>
                      </a:lnRef>
                      <a:fillRef idx="0">
                        <a:srgbClr val="000000">
                          <a:alpha val="0"/>
                        </a:srgbClr>
                      </a:fillRef>
                      <a:effectRef idx="0"/>
                      <a:fontRef idx="none"/>
                    </wps:style>
                    <wps:bodyPr/>
                  </wps:wsp>
                  <wps:wsp>
                    <wps:cNvPr id="37526" name="Shape 37526"/>
                    <wps:cNvSpPr/>
                    <wps:spPr>
                      <a:xfrm>
                        <a:off x="1622425" y="2273300"/>
                        <a:ext cx="1979295" cy="635"/>
                      </a:xfrm>
                      <a:custGeom>
                        <a:pathLst>
                          <a:path w="1979295" h="635">
                            <a:moveTo>
                              <a:pt x="0" y="0"/>
                            </a:moveTo>
                            <a:lnTo>
                              <a:pt x="1979295" y="635"/>
                            </a:lnTo>
                          </a:path>
                        </a:pathLst>
                      </a:custGeom>
                      <a:ln w="9525" cap="rnd">
                        <a:round/>
                      </a:ln>
                    </wps:spPr>
                    <wps:style>
                      <a:lnRef idx="1">
                        <a:srgbClr val="000000"/>
                      </a:lnRef>
                      <a:fillRef idx="0">
                        <a:srgbClr val="000000">
                          <a:alpha val="0"/>
                        </a:srgbClr>
                      </a:fillRef>
                      <a:effectRef idx="0"/>
                      <a:fontRef idx="none"/>
                    </wps:style>
                    <wps:bodyPr/>
                  </wps:wsp>
                  <wps:wsp>
                    <wps:cNvPr id="37527" name="Shape 37527"/>
                    <wps:cNvSpPr/>
                    <wps:spPr>
                      <a:xfrm>
                        <a:off x="1622425" y="2273300"/>
                        <a:ext cx="0" cy="120650"/>
                      </a:xfrm>
                      <a:custGeom>
                        <a:pathLst>
                          <a:path w="0" h="120650">
                            <a:moveTo>
                              <a:pt x="0" y="0"/>
                            </a:moveTo>
                            <a:lnTo>
                              <a:pt x="0" y="120650"/>
                            </a:lnTo>
                          </a:path>
                        </a:pathLst>
                      </a:custGeom>
                      <a:ln w="9525" cap="rnd">
                        <a:round/>
                      </a:ln>
                    </wps:spPr>
                    <wps:style>
                      <a:lnRef idx="1">
                        <a:srgbClr val="000000"/>
                      </a:lnRef>
                      <a:fillRef idx="0">
                        <a:srgbClr val="000000">
                          <a:alpha val="0"/>
                        </a:srgbClr>
                      </a:fillRef>
                      <a:effectRef idx="0"/>
                      <a:fontRef idx="none"/>
                    </wps:style>
                    <wps:bodyPr/>
                  </wps:wsp>
                  <wps:wsp>
                    <wps:cNvPr id="37528" name="Shape 37528"/>
                    <wps:cNvSpPr/>
                    <wps:spPr>
                      <a:xfrm>
                        <a:off x="5940425" y="2217420"/>
                        <a:ext cx="635" cy="176530"/>
                      </a:xfrm>
                      <a:custGeom>
                        <a:pathLst>
                          <a:path w="635" h="176530">
                            <a:moveTo>
                              <a:pt x="0" y="0"/>
                            </a:moveTo>
                            <a:lnTo>
                              <a:pt x="635" y="176530"/>
                            </a:lnTo>
                          </a:path>
                        </a:pathLst>
                      </a:custGeom>
                      <a:ln w="9525" cap="rnd">
                        <a:round/>
                      </a:ln>
                    </wps:spPr>
                    <wps:style>
                      <a:lnRef idx="1">
                        <a:srgbClr val="000000"/>
                      </a:lnRef>
                      <a:fillRef idx="0">
                        <a:srgbClr val="000000">
                          <a:alpha val="0"/>
                        </a:srgbClr>
                      </a:fillRef>
                      <a:effectRef idx="0"/>
                      <a:fontRef idx="none"/>
                    </wps:style>
                    <wps:bodyPr/>
                  </wps:wsp>
                </wpg:wgp>
              </a:graphicData>
            </a:graphic>
          </wp:inline>
        </w:drawing>
      </w:r>
    </w:p>
    <w:tbl>
      <w:tblPr>
        <w:tblStyle w:val="TableGrid"/>
        <w:tblW w:w="12976" w:type="dxa"/>
        <w:tblInd w:w="978" w:type="dxa"/>
        <w:tblCellMar>
          <w:top w:w="0" w:type="dxa"/>
          <w:left w:w="0" w:type="dxa"/>
          <w:bottom w:w="0" w:type="dxa"/>
          <w:right w:w="0" w:type="dxa"/>
        </w:tblCellMar>
      </w:tblPr>
      <w:tblGrid>
        <w:gridCol w:w="6586"/>
        <w:gridCol w:w="6390"/>
      </w:tblGrid>
      <w:tr>
        <w:trPr>
          <w:trHeight w:val="3547" w:hRule="atLeast"/>
        </w:trPr>
        <w:tc>
          <w:tcPr>
            <w:tcW w:w="6586" w:type="dxa"/>
            <w:tcBorders>
              <w:top w:val="nil"/>
              <w:left w:val="nil"/>
              <w:bottom w:val="nil"/>
              <w:right w:val="nil"/>
            </w:tcBorders>
            <w:vAlign w:val="top"/>
          </w:tcPr>
          <w:p>
            <w:pPr>
              <w:spacing w:before="0" w:after="0" w:line="259" w:lineRule="auto"/>
              <w:ind w:left="-2418" w:right="250" w:firstLine="0"/>
              <w:jc w:val="left"/>
            </w:pPr>
          </w:p>
          <w:tbl>
            <w:tblPr>
              <w:tblStyle w:val="TableGrid"/>
              <w:tblW w:w="6335" w:type="dxa"/>
              <w:tblInd w:w="0" w:type="dxa"/>
              <w:tblCellMar>
                <w:top w:w="0" w:type="dxa"/>
                <w:left w:w="38" w:type="dxa"/>
                <w:bottom w:w="0" w:type="dxa"/>
                <w:right w:w="0" w:type="dxa"/>
              </w:tblCellMar>
            </w:tblPr>
            <w:tblGrid>
              <w:gridCol w:w="3204"/>
              <w:gridCol w:w="191"/>
              <w:gridCol w:w="2940"/>
            </w:tblGrid>
            <w:tr>
              <w:trPr>
                <w:trHeight w:val="3469" w:hRule="atLeast"/>
              </w:trPr>
              <w:tc>
                <w:tcPr>
                  <w:tcW w:w="3204" w:type="dxa"/>
                  <w:tcBorders>
                    <w:top w:val="dashed" w:sz="8" w:color="4bacc6"/>
                    <w:left w:val="dashed" w:sz="8" w:color="4bacc6"/>
                    <w:bottom w:val="dashed" w:sz="8" w:color="4bacc6"/>
                    <w:right w:val="dashed" w:sz="8" w:color="4bacc6"/>
                  </w:tcBorders>
                  <w:vAlign w:val="top"/>
                </w:tcPr>
                <w:p>
                  <w:pPr>
                    <w:spacing w:before="0" w:after="0" w:line="259" w:lineRule="auto"/>
                    <w:ind w:left="0" w:firstLine="0"/>
                    <w:jc w:val="left"/>
                  </w:pPr>
                  <w:r>
                    <w:rPr>
                      <w:sz w:val="16"/>
                    </w:rPr>
                    <w:t xml:space="preserve"> 	</w:t>
                  </w:r>
                  <w:r>
                    <w:rPr>
                      <w:sz w:val="24"/>
                    </w:rPr>
                    <w:t xml:space="preserve"> </w:t>
                  </w:r>
                </w:p>
                <w:p>
                  <w:pPr>
                    <w:spacing w:before="0" w:after="0" w:line="259" w:lineRule="auto"/>
                    <w:ind w:left="0" w:firstLine="0"/>
                  </w:pPr>
                  <w:r>
                    <w:rPr>
                      <w:sz w:val="16"/>
                    </w:rPr>
                    <w:t xml:space="preserve">Renforcement des capacités de suivi de la </w:t>
                  </w:r>
                </w:p>
                <w:p>
                  <w:pPr>
                    <w:spacing w:before="0" w:after="0" w:line="259" w:lineRule="auto"/>
                    <w:ind w:left="0" w:firstLine="0"/>
                    <w:jc w:val="left"/>
                  </w:pPr>
                  <w:r>
                    <w:rPr>
                      <w:sz w:val="16"/>
                    </w:rPr>
                    <w:t xml:space="preserve">SCADD par les structures du MEDD</w:t>
                  </w:r>
                  <w:r>
                    <w:rPr>
                      <w:sz w:val="16"/>
                    </w:rPr>
                    <w:t xml:space="preserve"> </w:t>
                  </w:r>
                </w:p>
                <w:p>
                  <w:pPr>
                    <w:spacing w:before="0" w:after="15" w:line="259" w:lineRule="auto"/>
                    <w:ind w:left="0" w:firstLine="0"/>
                    <w:jc w:val="left"/>
                  </w:pPr>
                  <w:r>
                    <w:rPr>
                      <w:sz w:val="16"/>
                    </w:rPr>
                    <w:t xml:space="preserve"> </w:t>
                  </w:r>
                </w:p>
                <w:p>
                  <w:pPr>
                    <w:spacing w:before="0" w:after="0" w:line="259" w:lineRule="auto"/>
                    <w:ind w:left="0" w:firstLine="0"/>
                    <w:jc w:val="left"/>
                  </w:pPr>
                  <w:r>
                    <w:rPr>
                      <w:sz w:val="16"/>
                    </w:rPr>
                    <w:t xml:space="preserve">Appui à la mise en œuvre du  PNSR </w:t>
                  </w:r>
                  <w:r>
                    <w:rPr>
                      <w:sz w:val="16"/>
                    </w:rPr>
                    <w:t xml:space="preserve"> </w:t>
                  </w:r>
                </w:p>
                <w:p>
                  <w:pPr>
                    <w:spacing w:before="0" w:after="0" w:line="259" w:lineRule="auto"/>
                    <w:ind w:left="0" w:firstLine="0"/>
                    <w:jc w:val="left"/>
                  </w:pPr>
                  <w:r>
                    <w:rPr>
                      <w:sz w:val="16"/>
                    </w:rPr>
                    <w:t xml:space="preserve"> </w:t>
                  </w:r>
                </w:p>
                <w:p>
                  <w:pPr>
                    <w:spacing w:before="0" w:after="0" w:line="259" w:lineRule="auto"/>
                    <w:ind w:left="0" w:firstLine="0"/>
                    <w:jc w:val="left"/>
                  </w:pPr>
                  <w:r>
                    <w:rPr>
                      <w:sz w:val="16"/>
                    </w:rPr>
                    <w:t xml:space="preserve">Appui à la préparation de RIO+20</w:t>
                  </w:r>
                  <w:r>
                    <w:rPr>
                      <w:sz w:val="16"/>
                    </w:rPr>
                    <w:t xml:space="preserve"> </w:t>
                  </w:r>
                </w:p>
                <w:p>
                  <w:pPr>
                    <w:spacing w:before="0" w:after="0" w:line="259" w:lineRule="auto"/>
                    <w:ind w:left="0" w:firstLine="0"/>
                    <w:jc w:val="left"/>
                  </w:pPr>
                  <w:r>
                    <w:rPr>
                      <w:sz w:val="16"/>
                    </w:rPr>
                    <w:t xml:space="preserve"> </w:t>
                  </w:r>
                </w:p>
                <w:p>
                  <w:pPr>
                    <w:tabs>
                      <w:tab w:val="center" w:pos="687"/>
                      <w:tab w:val="center" w:pos="1286"/>
                      <w:tab w:val="center" w:pos="1886"/>
                      <w:tab w:val="center" w:pos="2436"/>
                      <w:tab w:val="right" w:pos="3166"/>
                    </w:tabs>
                    <w:spacing w:before="0" w:after="0" w:line="259" w:lineRule="auto"/>
                    <w:ind w:left="0" w:firstLine="0"/>
                    <w:jc w:val="left"/>
                  </w:pPr>
                  <w:r>
                    <w:rPr>
                      <w:sz w:val="16"/>
                    </w:rPr>
                    <w:t xml:space="preserve">Appui 	au 	processus 	de 	transfert 	des </w:t>
                  </w:r>
                </w:p>
                <w:p>
                  <w:pPr>
                    <w:spacing w:before="0" w:after="0" w:line="259" w:lineRule="auto"/>
                    <w:ind w:left="0" w:firstLine="0"/>
                    <w:jc w:val="left"/>
                  </w:pPr>
                  <w:r>
                    <w:rPr>
                      <w:sz w:val="16"/>
                    </w:rPr>
                    <w:t xml:space="preserve">compétences de GRN aux collectivités</w:t>
                  </w:r>
                  <w:r>
                    <w:rPr>
                      <w:sz w:val="16"/>
                    </w:rPr>
                    <w:t xml:space="preserve"> </w:t>
                  </w:r>
                </w:p>
                <w:p>
                  <w:pPr>
                    <w:spacing w:before="0" w:after="0" w:line="259" w:lineRule="auto"/>
                    <w:ind w:left="0" w:firstLine="0"/>
                    <w:jc w:val="left"/>
                  </w:pPr>
                  <w:r>
                    <w:rPr>
                      <w:sz w:val="16"/>
                    </w:rPr>
                    <w:t xml:space="preserve"> </w:t>
                  </w:r>
                </w:p>
                <w:p>
                  <w:pPr>
                    <w:spacing w:before="0" w:after="0" w:line="266" w:lineRule="auto"/>
                    <w:ind w:left="0" w:right="38" w:firstLine="0"/>
                  </w:pPr>
                  <w:r>
                    <w:rPr>
                      <w:sz w:val="16"/>
                    </w:rPr>
                    <w:t xml:space="preserve">Animation de la concertation avec les PTF dans le domaine de l‟environnement (appui</w:t>
                  </w:r>
                  <w:r>
                    <w:rPr>
                      <w:sz w:val="16"/>
                    </w:rPr>
                    <w:t xml:space="preserve"> </w:t>
                  </w:r>
                  <w:r>
                    <w:rPr>
                      <w:sz w:val="16"/>
                    </w:rPr>
                    <w:t xml:space="preserve">à la coordination des projets d‟atténuation)</w:t>
                  </w:r>
                  <w:r>
                    <w:rPr>
                      <w:sz w:val="18"/>
                    </w:rPr>
                    <w:t xml:space="preserve">  </w:t>
                  </w:r>
                </w:p>
                <w:p>
                  <w:pPr>
                    <w:spacing w:before="0" w:after="0" w:line="259" w:lineRule="auto"/>
                    <w:ind w:left="0" w:firstLine="0"/>
                    <w:jc w:val="left"/>
                  </w:pPr>
                  <w:r>
                    <w:rPr>
                      <w:sz w:val="16"/>
                    </w:rPr>
                    <w:t xml:space="preserve"> </w:t>
                  </w:r>
                </w:p>
                <w:p>
                  <w:pPr>
                    <w:spacing w:before="0" w:after="0" w:line="259" w:lineRule="auto"/>
                    <w:ind w:left="0" w:firstLine="0"/>
                    <w:jc w:val="left"/>
                  </w:pPr>
                  <w:r>
                    <w:rPr>
                      <w:sz w:val="16"/>
                    </w:rPr>
                    <w:t xml:space="preserve"> </w:t>
                  </w:r>
                </w:p>
              </w:tc>
              <w:tc>
                <w:tcPr>
                  <w:tcW w:w="191" w:type="dxa"/>
                  <w:tcBorders>
                    <w:top w:val="nil"/>
                    <w:left w:val="dashed" w:sz="8" w:color="4bacc6"/>
                    <w:bottom w:val="nil"/>
                    <w:right w:val="dashed" w:sz="8" w:color="4bacc6"/>
                  </w:tcBorders>
                  <w:vAlign w:val="top"/>
                </w:tcPr>
                <w:p>
                  <w:pPr>
                    <w:bidi w:val="0"/>
                    <w:spacing w:before="0" w:after="160" w:line="259" w:lineRule="auto"/>
                    <w:ind w:left="0" w:right="0" w:firstLine="0"/>
                    <w:jc w:val="left"/>
                  </w:pPr>
                </w:p>
              </w:tc>
              <w:tc>
                <w:tcPr>
                  <w:tcW w:w="2940" w:type="dxa"/>
                  <w:tcBorders>
                    <w:top w:val="dashed" w:sz="8" w:color="4bacc6"/>
                    <w:left w:val="dashed" w:sz="8" w:color="4bacc6"/>
                    <w:bottom w:val="dashed" w:sz="8" w:color="4bacc6"/>
                    <w:right w:val="dashed" w:sz="8" w:color="4bacc6"/>
                  </w:tcBorders>
                  <w:vAlign w:val="top"/>
                </w:tcPr>
                <w:p>
                  <w:pPr>
                    <w:spacing w:before="0" w:after="0" w:line="259" w:lineRule="auto"/>
                    <w:ind w:left="2" w:firstLine="0"/>
                    <w:jc w:val="left"/>
                  </w:pPr>
                  <w:r>
                    <w:rPr>
                      <w:sz w:val="16"/>
                    </w:rPr>
                    <w:t xml:space="preserve"> </w:t>
                  </w:r>
                  <w:r>
                    <w:rPr>
                      <w:sz w:val="24"/>
                    </w:rPr>
                    <w:t xml:space="preserve"> </w:t>
                  </w:r>
                </w:p>
                <w:p>
                  <w:pPr>
                    <w:spacing w:before="0" w:after="0" w:line="259" w:lineRule="auto"/>
                    <w:ind w:left="2" w:firstLine="0"/>
                  </w:pPr>
                  <w:r>
                    <w:rPr>
                      <w:sz w:val="16"/>
                    </w:rPr>
                    <w:t xml:space="preserve">Appui au fonctionnement de l‟observatoire </w:t>
                  </w:r>
                </w:p>
                <w:p>
                  <w:pPr>
                    <w:spacing w:before="0" w:after="0" w:line="259" w:lineRule="auto"/>
                    <w:ind w:left="2" w:firstLine="0"/>
                    <w:jc w:val="left"/>
                  </w:pPr>
                  <w:r>
                    <w:rPr>
                      <w:sz w:val="16"/>
                    </w:rPr>
                    <w:t xml:space="preserve">national (SP/CONEDD)</w:t>
                  </w:r>
                  <w:r>
                    <w:rPr>
                      <w:sz w:val="16"/>
                    </w:rPr>
                    <w:t xml:space="preserve"> </w:t>
                  </w:r>
                </w:p>
                <w:p>
                  <w:pPr>
                    <w:spacing w:before="0" w:after="0" w:line="259" w:lineRule="auto"/>
                    <w:ind w:left="2" w:firstLine="0"/>
                    <w:jc w:val="left"/>
                  </w:pPr>
                  <w:r>
                    <w:rPr>
                      <w:sz w:val="16"/>
                    </w:rPr>
                    <w:t xml:space="preserve"> </w:t>
                  </w:r>
                </w:p>
                <w:p>
                  <w:pPr>
                    <w:spacing w:before="0" w:after="0" w:line="238" w:lineRule="auto"/>
                    <w:ind w:left="2" w:firstLine="0"/>
                  </w:pPr>
                  <w:r>
                    <w:rPr>
                      <w:sz w:val="16"/>
                    </w:rPr>
                    <w:t xml:space="preserve">Appui à la mise en place des bases de données environnementales (DEP/MEDD, </w:t>
                  </w:r>
                </w:p>
                <w:p>
                  <w:pPr>
                    <w:spacing w:before="0" w:after="0" w:line="259" w:lineRule="auto"/>
                    <w:ind w:left="2" w:firstLine="0"/>
                    <w:jc w:val="left"/>
                  </w:pPr>
                  <w:r>
                    <w:rPr>
                      <w:sz w:val="16"/>
                    </w:rPr>
                    <w:t xml:space="preserve">DGCN)</w:t>
                  </w:r>
                  <w:r>
                    <w:rPr>
                      <w:sz w:val="16"/>
                    </w:rPr>
                    <w:t xml:space="preserve"> </w:t>
                  </w:r>
                </w:p>
                <w:p>
                  <w:pPr>
                    <w:spacing w:before="0" w:after="0" w:line="259" w:lineRule="auto"/>
                    <w:ind w:left="2" w:firstLine="0"/>
                    <w:jc w:val="left"/>
                  </w:pPr>
                  <w:r>
                    <w:rPr>
                      <w:sz w:val="16"/>
                    </w:rPr>
                    <w:t xml:space="preserve"> </w:t>
                  </w:r>
                </w:p>
                <w:p>
                  <w:pPr>
                    <w:spacing w:before="0" w:after="1" w:line="237" w:lineRule="auto"/>
                    <w:ind w:left="2" w:firstLine="0"/>
                    <w:jc w:val="left"/>
                  </w:pPr>
                  <w:r>
                    <w:rPr>
                      <w:sz w:val="16"/>
                    </w:rPr>
                    <w:t xml:space="preserve">Appui à l‟élaboration du Rapport sur l‟Etat de l‟Environnement au Burkina Faso (REEB)</w:t>
                  </w:r>
                  <w:r>
                    <w:rPr>
                      <w:sz w:val="16"/>
                    </w:rPr>
                    <w:t xml:space="preserve"> </w:t>
                  </w:r>
                </w:p>
                <w:p>
                  <w:pPr>
                    <w:spacing w:before="0" w:after="0" w:line="259" w:lineRule="auto"/>
                    <w:ind w:left="2" w:firstLine="0"/>
                    <w:jc w:val="left"/>
                  </w:pPr>
                  <w:r>
                    <w:rPr>
                      <w:sz w:val="16"/>
                    </w:rPr>
                    <w:t xml:space="preserve"> </w:t>
                  </w:r>
                </w:p>
                <w:p>
                  <w:pPr>
                    <w:spacing w:before="0" w:after="0" w:line="238" w:lineRule="auto"/>
                    <w:ind w:left="2" w:firstLine="0"/>
                  </w:pPr>
                  <w:r>
                    <w:rPr>
                      <w:sz w:val="16"/>
                    </w:rPr>
                    <w:t xml:space="preserve">Elaboration des notes de communication sur la Diversité Biologique et  les changements </w:t>
                  </w:r>
                </w:p>
                <w:p>
                  <w:pPr>
                    <w:spacing w:before="0" w:after="0" w:line="259" w:lineRule="auto"/>
                    <w:ind w:left="2" w:firstLine="0"/>
                    <w:jc w:val="left"/>
                  </w:pPr>
                  <w:r>
                    <w:rPr>
                      <w:sz w:val="16"/>
                    </w:rPr>
                    <w:t xml:space="preserve">Climatiques</w:t>
                  </w:r>
                  <w:r>
                    <w:rPr>
                      <w:sz w:val="16"/>
                    </w:rPr>
                    <w:t xml:space="preserve"> </w:t>
                  </w:r>
                </w:p>
                <w:p>
                  <w:pPr>
                    <w:spacing w:before="0" w:after="78" w:line="259" w:lineRule="auto"/>
                    <w:ind w:left="2" w:firstLine="0"/>
                    <w:jc w:val="left"/>
                  </w:pPr>
                  <w:r>
                    <w:rPr>
                      <w:sz w:val="16"/>
                    </w:rPr>
                    <w:t xml:space="preserve"> </w:t>
                  </w:r>
                </w:p>
                <w:p>
                  <w:pPr>
                    <w:spacing w:before="0" w:after="0" w:line="259" w:lineRule="auto"/>
                    <w:ind w:left="2" w:right="-7" w:firstLine="0"/>
                  </w:pPr>
                  <w:r>
                    <w:rPr>
                      <w:sz w:val="16"/>
                    </w:rPr>
                    <w:t xml:space="preserve">Mise en place de systèmes d‟alerte précoce</w:t>
                  </w:r>
                  <w:r>
                    <w:rPr>
                      <w:sz w:val="20"/>
                    </w:rPr>
                    <w:t xml:space="preserve">Page </w:t>
                  </w:r>
                  <w:r>
                    <w:rPr>
                      <w:rFonts w:cs="Times New Roman" w:hAnsi="Times New Roman" w:eastAsia="Times New Roman" w:ascii="Times New Roman"/>
                      <w:b w:val="1"/>
                      <w:sz w:val="20"/>
                    </w:rPr>
                    <w:t xml:space="preserve">48</w:t>
                  </w:r>
                  <w:r>
                    <w:rPr>
                      <w:sz w:val="20"/>
                    </w:rPr>
                    <w:t xml:space="preserve"> </w:t>
                  </w:r>
                  <w:r>
                    <w:rPr>
                      <w:sz w:val="20"/>
                    </w:rPr>
                    <w:t xml:space="preserve">sur </w:t>
                  </w:r>
                  <w:r>
                    <w:rPr>
                      <w:sz w:val="16"/>
                    </w:rPr>
                    <w:t xml:space="preserve"> </w:t>
                  </w:r>
                </w:p>
                <w:p>
                  <w:pPr>
                    <w:spacing w:before="0" w:after="0" w:line="259" w:lineRule="auto"/>
                    <w:ind w:left="2" w:firstLine="0"/>
                    <w:jc w:val="left"/>
                  </w:pPr>
                  <w:r>
                    <w:rPr>
                      <w:sz w:val="16"/>
                    </w:rPr>
                    <w:t xml:space="preserve"> </w:t>
                  </w:r>
                </w:p>
              </w:tc>
            </w:tr>
          </w:tbl>
          <w:p>
            <w:pPr>
              <w:bidi w:val="0"/>
              <w:spacing w:before="0" w:after="160" w:line="259" w:lineRule="auto"/>
              <w:ind w:left="0" w:right="0" w:firstLine="0"/>
              <w:jc w:val="left"/>
            </w:pPr>
          </w:p>
        </w:tc>
        <w:tc>
          <w:tcPr>
            <w:tcW w:w="6390" w:type="dxa"/>
            <w:tcBorders>
              <w:top w:val="nil"/>
              <w:left w:val="nil"/>
              <w:bottom w:val="nil"/>
              <w:right w:val="nil"/>
            </w:tcBorders>
            <w:vAlign w:val="top"/>
          </w:tcPr>
          <w:p>
            <w:pPr>
              <w:spacing w:before="0" w:after="0" w:line="259" w:lineRule="auto"/>
              <w:ind w:left="-9004" w:right="15394" w:firstLine="0"/>
              <w:jc w:val="left"/>
            </w:pPr>
          </w:p>
          <w:tbl>
            <w:tblPr>
              <w:tblStyle w:val="TableGrid"/>
              <w:tblW w:w="6140" w:type="dxa"/>
              <w:tblInd w:w="251" w:type="dxa"/>
              <w:tblCellMar>
                <w:top w:w="43" w:type="dxa"/>
                <w:left w:w="39" w:type="dxa"/>
                <w:bottom w:w="0" w:type="dxa"/>
                <w:right w:w="0" w:type="dxa"/>
              </w:tblCellMar>
            </w:tblPr>
            <w:tblGrid>
              <w:gridCol w:w="2855"/>
              <w:gridCol w:w="343"/>
              <w:gridCol w:w="2942"/>
            </w:tblGrid>
            <w:tr>
              <w:trPr>
                <w:trHeight w:val="3547" w:hRule="atLeast"/>
              </w:trPr>
              <w:tc>
                <w:tcPr>
                  <w:tcW w:w="2855" w:type="dxa"/>
                  <w:tcBorders>
                    <w:top w:val="dashed" w:sz="8" w:color="4bacc6"/>
                    <w:left w:val="dashed" w:sz="8" w:color="4bacc6"/>
                    <w:bottom w:val="dashed" w:sz="8" w:color="4bacc6"/>
                    <w:right w:val="dashed" w:sz="8" w:color="4bacc6"/>
                  </w:tcBorders>
                  <w:vAlign w:val="top"/>
                </w:tcPr>
                <w:p>
                  <w:pPr>
                    <w:spacing w:before="0" w:after="0" w:line="250" w:lineRule="auto"/>
                    <w:ind w:left="1" w:firstLine="0"/>
                    <w:jc w:val="left"/>
                  </w:pPr>
                  <w:r>
                    <w:rPr>
                      <w:sz w:val="16"/>
                    </w:rPr>
                    <w:t xml:space="preserve">Appui à l‟élaboration et la mise en œuvre de plans de renforcement des capacités</w:t>
                  </w:r>
                  <w:r>
                    <w:rPr>
                      <w:sz w:val="16"/>
                    </w:rPr>
                    <w:t xml:space="preserve"> </w:t>
                  </w:r>
                  <w:r>
                    <w:rPr>
                      <w:sz w:val="16"/>
                    </w:rPr>
                    <w:t xml:space="preserve">Adaptation des outils de mainstreaming de l‟environnement</w:t>
                  </w:r>
                  <w:r>
                    <w:rPr>
                      <w:sz w:val="16"/>
                    </w:rPr>
                    <w:t xml:space="preserve"> </w:t>
                  </w:r>
                </w:p>
                <w:p>
                  <w:pPr>
                    <w:spacing w:before="0" w:after="0" w:line="259" w:lineRule="auto"/>
                    <w:ind w:left="1" w:firstLine="0"/>
                    <w:jc w:val="left"/>
                  </w:pPr>
                  <w:r>
                    <w:rPr>
                      <w:sz w:val="16"/>
                    </w:rPr>
                    <w:t xml:space="preserve"> </w:t>
                  </w:r>
                </w:p>
                <w:p>
                  <w:pPr>
                    <w:spacing w:before="0" w:after="0" w:line="257" w:lineRule="auto"/>
                    <w:ind w:left="1" w:firstLine="0"/>
                    <w:jc w:val="left"/>
                  </w:pPr>
                  <w:r>
                    <w:rPr>
                      <w:sz w:val="16"/>
                    </w:rPr>
                    <w:t xml:space="preserve">Formation des organisations de la société civile (plaidoyer) et structures d‟appui</w:t>
                  </w:r>
                  <w:r>
                    <w:rPr>
                      <w:sz w:val="16"/>
                    </w:rPr>
                    <w:t xml:space="preserve"/>
                  </w:r>
                  <w:r>
                    <w:rPr>
                      <w:sz w:val="16"/>
                    </w:rPr>
                    <w:t xml:space="preserve">Conseil (outils de mainstreaming)</w:t>
                  </w:r>
                  <w:r>
                    <w:rPr>
                      <w:sz w:val="16"/>
                    </w:rPr>
                    <w:t xml:space="preserve"> </w:t>
                  </w:r>
                </w:p>
                <w:p>
                  <w:pPr>
                    <w:spacing w:before="0" w:after="0" w:line="259" w:lineRule="auto"/>
                    <w:ind w:left="1" w:firstLine="0"/>
                    <w:jc w:val="left"/>
                  </w:pPr>
                  <w:r>
                    <w:rPr>
                      <w:sz w:val="16"/>
                    </w:rPr>
                    <w:t xml:space="preserve"> </w:t>
                  </w:r>
                </w:p>
                <w:p>
                  <w:pPr>
                    <w:spacing w:before="0" w:after="31" w:line="238" w:lineRule="auto"/>
                    <w:ind w:left="1" w:firstLine="0"/>
                    <w:jc w:val="left"/>
                  </w:pPr>
                  <w:r>
                    <w:rPr>
                      <w:sz w:val="16"/>
                    </w:rPr>
                    <w:t xml:space="preserve">Capitalisation et diffusion des bonnes pratiques (cogestion  des RN et de </w:t>
                  </w:r>
                </w:p>
                <w:p>
                  <w:pPr>
                    <w:spacing w:before="0" w:after="0" w:line="259" w:lineRule="auto"/>
                    <w:ind w:left="1" w:firstLine="0"/>
                    <w:jc w:val="left"/>
                  </w:pPr>
                  <w:r>
                    <w:rPr>
                      <w:sz w:val="16"/>
                    </w:rPr>
                    <w:t xml:space="preserve">promotion d‟énergies alternatives</w:t>
                  </w:r>
                  <w:r>
                    <w:rPr>
                      <w:sz w:val="16"/>
                    </w:rPr>
                    <w:t xml:space="preserve"> </w:t>
                  </w:r>
                </w:p>
                <w:p>
                  <w:pPr>
                    <w:spacing w:before="0" w:after="0" w:line="259" w:lineRule="auto"/>
                    <w:ind w:left="1" w:firstLine="0"/>
                    <w:jc w:val="left"/>
                  </w:pPr>
                  <w:r>
                    <w:rPr>
                      <w:sz w:val="16"/>
                    </w:rPr>
                    <w:t xml:space="preserve"> </w:t>
                  </w:r>
                </w:p>
                <w:p>
                  <w:pPr>
                    <w:spacing w:before="0" w:after="0" w:line="238" w:lineRule="auto"/>
                    <w:ind w:left="1" w:firstLine="0"/>
                  </w:pPr>
                  <w:r>
                    <w:rPr>
                      <w:sz w:val="16"/>
                    </w:rPr>
                    <w:t xml:space="preserve"> </w:t>
                  </w:r>
                  <w:r>
                    <w:rPr>
                      <w:sz w:val="16"/>
                    </w:rPr>
                    <w:t xml:space="preserve">Appui à la révision des plans locaux de développement (en collaboration avec  le </w:t>
                  </w:r>
                </w:p>
                <w:p>
                  <w:pPr>
                    <w:spacing w:before="0" w:after="0" w:line="259" w:lineRule="auto"/>
                    <w:ind w:left="1" w:firstLine="0"/>
                    <w:jc w:val="left"/>
                  </w:pPr>
                  <w:r>
                    <w:rPr>
                      <w:sz w:val="16"/>
                    </w:rPr>
                    <w:t xml:space="preserve">programme Gouvernance)</w:t>
                  </w:r>
                  <w:r>
                    <w:rPr>
                      <w:sz w:val="16"/>
                    </w:rPr>
                    <w:t xml:space="preserve"> </w:t>
                  </w:r>
                </w:p>
                <w:p>
                  <w:pPr>
                    <w:spacing w:before="0" w:after="0" w:line="259" w:lineRule="auto"/>
                    <w:ind w:left="1" w:firstLine="0"/>
                    <w:jc w:val="left"/>
                  </w:pPr>
                  <w:r>
                    <w:rPr>
                      <w:sz w:val="16"/>
                    </w:rPr>
                    <w:t xml:space="preserve"> </w:t>
                  </w:r>
                </w:p>
                <w:p>
                  <w:pPr>
                    <w:spacing w:before="0" w:after="0" w:line="259" w:lineRule="auto"/>
                    <w:ind w:left="1" w:firstLine="0"/>
                    <w:jc w:val="left"/>
                  </w:pPr>
                  <w:r>
                    <w:rPr>
                      <w:sz w:val="16"/>
                    </w:rPr>
                    <w:t xml:space="preserve">Appui à l‟élaboration de chartes foncières locales</w:t>
                  </w:r>
                  <w:r>
                    <w:rPr>
                      <w:sz w:val="16"/>
                    </w:rPr>
                    <w:t xml:space="preserve"> </w:t>
                  </w:r>
                </w:p>
              </w:tc>
              <w:tc>
                <w:tcPr>
                  <w:tcW w:w="343" w:type="dxa"/>
                  <w:tcBorders>
                    <w:top w:val="nil"/>
                    <w:left w:val="dashed" w:sz="8" w:color="4bacc6"/>
                    <w:bottom w:val="nil"/>
                    <w:right w:val="dashed" w:sz="8" w:color="4bacc6"/>
                  </w:tcBorders>
                  <w:vAlign w:val="top"/>
                </w:tcPr>
                <w:p>
                  <w:pPr>
                    <w:bidi w:val="0"/>
                    <w:spacing w:before="0" w:after="160" w:line="259" w:lineRule="auto"/>
                    <w:ind w:left="0" w:right="0" w:firstLine="0"/>
                    <w:jc w:val="left"/>
                  </w:pPr>
                </w:p>
              </w:tc>
              <w:tc>
                <w:tcPr>
                  <w:tcW w:w="2942" w:type="dxa"/>
                  <w:tcBorders>
                    <w:top w:val="dashed" w:sz="8" w:color="4bacc6"/>
                    <w:left w:val="dashed" w:sz="8" w:color="4bacc6"/>
                    <w:bottom w:val="dashed" w:sz="8" w:color="4bacc6"/>
                    <w:right w:val="dashed" w:sz="8" w:color="4bacc6"/>
                  </w:tcBorders>
                  <w:vAlign w:val="top"/>
                </w:tcPr>
                <w:p>
                  <w:pPr>
                    <w:spacing w:before="0" w:after="0" w:line="259" w:lineRule="auto"/>
                    <w:ind w:left="0" w:firstLine="0"/>
                    <w:jc w:val="left"/>
                  </w:pPr>
                  <w:r>
                    <w:rPr>
                      <w:sz w:val="16"/>
                    </w:rPr>
                    <w:t xml:space="preserve">Appui à la mise en place d‟un Fonds </w:t>
                  </w:r>
                </w:p>
                <w:p>
                  <w:pPr>
                    <w:spacing w:before="0" w:after="0" w:line="259" w:lineRule="auto"/>
                    <w:ind w:left="0" w:firstLine="0"/>
                    <w:jc w:val="left"/>
                  </w:pPr>
                  <w:r>
                    <w:rPr>
                      <w:sz w:val="16"/>
                    </w:rPr>
                    <w:t xml:space="preserve">National pour le Climat</w:t>
                  </w:r>
                  <w:r>
                    <w:rPr>
                      <w:sz w:val="16"/>
                    </w:rPr>
                    <w:t xml:space="preserve"> </w:t>
                  </w:r>
                </w:p>
                <w:p>
                  <w:pPr>
                    <w:spacing w:before="0" w:after="0" w:line="259" w:lineRule="auto"/>
                    <w:ind w:left="0" w:firstLine="0"/>
                    <w:jc w:val="left"/>
                  </w:pPr>
                  <w:r>
                    <w:rPr>
                      <w:sz w:val="16"/>
                    </w:rPr>
                    <w:t xml:space="preserve"> </w:t>
                  </w:r>
                </w:p>
                <w:p>
                  <w:pPr>
                    <w:spacing w:before="0" w:after="1" w:line="237" w:lineRule="auto"/>
                    <w:ind w:left="0" w:firstLine="0"/>
                    <w:jc w:val="left"/>
                  </w:pPr>
                  <w:r>
                    <w:rPr>
                      <w:sz w:val="16"/>
                    </w:rPr>
                    <w:t xml:space="preserve">Appui à l‟adaptation des mécanismes de financement du  développement local aux besoins de réponse aux changements climatiques</w:t>
                  </w:r>
                  <w:r>
                    <w:rPr>
                      <w:sz w:val="16"/>
                    </w:rPr>
                    <w:t xml:space="preserve"> </w:t>
                  </w:r>
                </w:p>
                <w:p>
                  <w:pPr>
                    <w:spacing w:before="0" w:after="1" w:line="237" w:lineRule="auto"/>
                    <w:ind w:left="0" w:firstLine="0"/>
                    <w:jc w:val="left"/>
                  </w:pPr>
                  <w:r>
                    <w:rPr>
                      <w:sz w:val="16"/>
                    </w:rPr>
                    <w:t xml:space="preserve">Renforcement des capacités des acteurs des collectivités à mobiliser les ressources financières (finance Climat, privé) </w:t>
                  </w:r>
                  <w:r>
                    <w:rPr>
                      <w:sz w:val="16"/>
                    </w:rPr>
                    <w:t xml:space="preserve"> </w:t>
                  </w:r>
                </w:p>
                <w:p>
                  <w:pPr>
                    <w:spacing w:before="0" w:after="0" w:line="259" w:lineRule="auto"/>
                    <w:ind w:left="0" w:firstLine="0"/>
                    <w:jc w:val="left"/>
                  </w:pPr>
                  <w:r>
                    <w:rPr>
                      <w:sz w:val="16"/>
                    </w:rPr>
                    <w:t xml:space="preserve"> </w:t>
                  </w:r>
                </w:p>
                <w:p>
                  <w:pPr>
                    <w:spacing w:before="0" w:after="33" w:line="236" w:lineRule="auto"/>
                    <w:ind w:left="0" w:firstLine="0"/>
                    <w:jc w:val="left"/>
                  </w:pPr>
                  <w:r>
                    <w:rPr>
                      <w:sz w:val="16"/>
                    </w:rPr>
                    <w:t xml:space="preserve">Appui à l‟élaboration de projets basés l‟approche territoriale des changements climatiques</w:t>
                  </w:r>
                  <w:r>
                    <w:rPr>
                      <w:sz w:val="16"/>
                    </w:rPr>
                    <w:t xml:space="preserve"> </w:t>
                  </w:r>
                </w:p>
                <w:p>
                  <w:pPr>
                    <w:spacing w:before="0" w:after="2" w:line="235" w:lineRule="auto"/>
                    <w:ind w:left="0" w:firstLine="0"/>
                  </w:pPr>
                  <w:r>
                    <w:rPr>
                      <w:sz w:val="16"/>
                    </w:rPr>
                    <w:t xml:space="preserve">Appui à la mise en œuvre de plans locaux de</w:t>
                  </w:r>
                  <w:r>
                    <w:rPr>
                      <w:sz w:val="16"/>
                    </w:rPr>
                    <w:t xml:space="preserve"> </w:t>
                  </w:r>
                  <w:r>
                    <w:rPr>
                      <w:sz w:val="16"/>
                    </w:rPr>
                    <w:t xml:space="preserve">développement et  projets</w:t>
                  </w:r>
                  <w:r>
                    <w:rPr>
                      <w:sz w:val="16"/>
                    </w:rPr>
                    <w:t xml:space="preserve"> </w:t>
                  </w:r>
                </w:p>
                <w:p>
                  <w:pPr>
                    <w:spacing w:before="0" w:after="0" w:line="259" w:lineRule="auto"/>
                    <w:ind w:left="0" w:firstLine="0"/>
                    <w:jc w:val="left"/>
                  </w:pPr>
                  <w:r>
                    <w:rPr>
                      <w:sz w:val="16"/>
                    </w:rPr>
                    <w:t xml:space="preserve">Appui aux initiatives de promotion de technologies appropriées</w:t>
                  </w:r>
                  <w:r>
                    <w:rPr>
                      <w:sz w:val="16"/>
                    </w:rPr>
                    <w:t xml:space="preserve"> </w:t>
                  </w:r>
                </w:p>
              </w:tc>
            </w:tr>
          </w:tbl>
          <w:p>
            <w:pPr>
              <w:bidi w:val="0"/>
              <w:spacing w:before="0" w:after="160" w:line="259" w:lineRule="auto"/>
              <w:ind w:left="0" w:right="0" w:firstLine="0"/>
              <w:jc w:val="left"/>
            </w:pPr>
          </w:p>
        </w:tc>
      </w:tr>
    </w:tbl>
    <w:p>
      <w:pPr>
        <w:spacing w:before="0" w:after="0" w:line="259" w:lineRule="auto"/>
        <w:ind w:left="0" w:right="5650" w:firstLine="0"/>
        <w:jc w:val="right"/>
      </w:pPr>
      <w:r>
        <w:rPr>
          <w:sz w:val="16"/>
        </w:rPr>
        <w:t xml:space="preserve"> </w:t>
      </w:r>
    </w:p>
    <w:p>
      <w:pPr>
        <w:spacing w:before="0" w:after="216" w:line="259" w:lineRule="auto"/>
        <w:ind w:left="10"/>
        <w:jc w:val="left"/>
      </w:pPr>
      <w:r>
        <w:rPr>
          <w:rFonts w:cs="Times New Roman" w:hAnsi="Times New Roman" w:eastAsia="Times New Roman" w:ascii="Times New Roman"/>
          <w:b w:val="1"/>
          <w:sz w:val="24"/>
        </w:rPr>
        <w:t xml:space="preserve">Annexe 2</w:t>
      </w: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w:t>
      </w:r>
      <w:r>
        <w:rPr>
          <w:sz w:val="24"/>
        </w:rPr>
        <w:t xml:space="preserve"> </w:t>
      </w:r>
      <w:r>
        <w:rPr>
          <w:sz w:val="24"/>
        </w:rPr>
        <w:t xml:space="preserve">Carte de la zone</w:t>
      </w:r>
      <w:r>
        <w:rPr>
          <w:sz w:val="24"/>
        </w:rPr>
        <w:t xml:space="preserve">  </w:t>
      </w:r>
      <w:r>
        <w:rPr>
          <w:sz w:val="24"/>
        </w:rPr>
        <w:t xml:space="preserve">d‟intervention </w:t>
      </w:r>
      <w:r>
        <w:rPr>
          <w:sz w:val="24"/>
        </w:rPr>
        <w:t xml:space="preserve"> </w:t>
      </w:r>
    </w:p>
    <w:p>
      <w:pPr>
        <w:spacing w:before="0" w:after="19" w:line="259" w:lineRule="auto"/>
        <w:ind w:left="360" w:firstLine="0"/>
        <w:jc w:val="left"/>
      </w:pPr>
      <w:r>
        <w:rPr>
          <w:sz w:val="24"/>
        </w:rPr>
        <w:t xml:space="preserve"> </w:t>
      </w:r>
    </w:p>
    <w:p>
      <w:pPr>
        <w:spacing w:before="0" w:after="0" w:line="259" w:lineRule="auto"/>
        <w:ind w:left="0" w:firstLine="0"/>
        <w:jc w:val="left"/>
      </w:pPr>
      <w:r>
        <w:rPr>
          <w:rFonts w:cs="Times New Roman" w:hAnsi="Times New Roman" w:eastAsia="Times New Roman" w:ascii="Times New Roman"/>
          <w:b w:val="1"/>
          <w:sz w:val="28"/>
        </w:rPr>
        <w:t xml:space="preserve"> </w:t>
      </w:r>
    </w:p>
    <w:p>
      <w:pPr>
        <w:spacing w:before="0" w:after="0" w:line="259" w:lineRule="auto"/>
        <w:ind w:left="-515" w:firstLine="0"/>
        <w:jc w:val="left"/>
      </w:pPr>
      <w:r>
        <w:rPr>
          <w:rFonts w:cs="Calibri" w:hAnsi="Calibri" w:eastAsia="Calibri" w:ascii="Calibri"/>
          <w:sz w:val="22"/>
        </w:rPr>
        <w:drawing>
          <wp:inline distT="0" distB="0" distL="0" distR="0">
            <wp:extent cx="8897747" cy="5379364"/>
            <wp:docPr id="151242" name="Group 151242"/>
            <wp:cNvGraphicFramePr/>
            <a:graphic>
              <a:graphicData uri="http://schemas.microsoft.com/office/word/2010/wordprocessingGroup">
                <wpg:wgp>
                  <wpg:cNvGrpSpPr/>
                  <wpg:grpSpPr>
                    <a:xfrm>
                      <a:off x="0" y="0"/>
                      <a:ext cx="8897747" cy="5379364"/>
                      <a:chOff x="0" y="0"/>
                      <a:chExt cx="8897747" cy="5379364"/>
                    </a:xfrm>
                  </wpg:grpSpPr>
                  <pic:pic xmlns:pic="http://schemas.openxmlformats.org/drawingml/2006/picture">
                    <pic:nvPicPr>
                      <pic:cNvPr id="37553" name="Picture 37553"/>
                      <pic:cNvPicPr/>
                    </pic:nvPicPr>
                    <pic:blipFill>
                      <a:blip r:embed="rId70"/>
                      <a:stretch>
                        <a:fillRect/>
                      </a:stretch>
                    </pic:blipFill>
                    <pic:spPr>
                      <a:xfrm>
                        <a:off x="0" y="16789"/>
                        <a:ext cx="8743315" cy="5362575"/>
                      </a:xfrm>
                      <a:prstGeom prst="rect">
                        <a:avLst/>
                      </a:prstGeom>
                    </pic:spPr>
                  </pic:pic>
                  <wps:wsp>
                    <wps:cNvPr id="37566" name="Rectangle 37566"/>
                    <wps:cNvSpPr/>
                    <wps:spPr>
                      <a:xfrm>
                        <a:off x="8859647" y="0"/>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67" name="Rectangle 37567"/>
                    <wps:cNvSpPr/>
                    <wps:spPr>
                      <a:xfrm>
                        <a:off x="8859647" y="175260"/>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68" name="Rectangle 37568"/>
                    <wps:cNvSpPr/>
                    <wps:spPr>
                      <a:xfrm>
                        <a:off x="8859647" y="350520"/>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69" name="Rectangle 37569"/>
                    <wps:cNvSpPr/>
                    <wps:spPr>
                      <a:xfrm>
                        <a:off x="8859647" y="525780"/>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0" name="Rectangle 37570"/>
                    <wps:cNvSpPr/>
                    <wps:spPr>
                      <a:xfrm>
                        <a:off x="8859647" y="70142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1" name="Rectangle 37571"/>
                    <wps:cNvSpPr/>
                    <wps:spPr>
                      <a:xfrm>
                        <a:off x="8859647" y="87668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2" name="Rectangle 37572"/>
                    <wps:cNvSpPr/>
                    <wps:spPr>
                      <a:xfrm>
                        <a:off x="8859647" y="105194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3" name="Rectangle 37573"/>
                    <wps:cNvSpPr/>
                    <wps:spPr>
                      <a:xfrm>
                        <a:off x="8859647" y="122720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4" name="Rectangle 37574"/>
                    <wps:cNvSpPr/>
                    <wps:spPr>
                      <a:xfrm>
                        <a:off x="8859647" y="140246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5" name="Rectangle 37575"/>
                    <wps:cNvSpPr/>
                    <wps:spPr>
                      <a:xfrm>
                        <a:off x="8859647" y="157772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6" name="Rectangle 37576"/>
                    <wps:cNvSpPr/>
                    <wps:spPr>
                      <a:xfrm>
                        <a:off x="8859647" y="175298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7" name="Rectangle 37577"/>
                    <wps:cNvSpPr/>
                    <wps:spPr>
                      <a:xfrm>
                        <a:off x="8859647" y="192824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8" name="Rectangle 37578"/>
                    <wps:cNvSpPr/>
                    <wps:spPr>
                      <a:xfrm>
                        <a:off x="8859647" y="210350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79" name="Rectangle 37579"/>
                    <wps:cNvSpPr/>
                    <wps:spPr>
                      <a:xfrm>
                        <a:off x="8859647" y="227901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0" name="Rectangle 37580"/>
                    <wps:cNvSpPr/>
                    <wps:spPr>
                      <a:xfrm>
                        <a:off x="8859647" y="245427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1" name="Rectangle 37581"/>
                    <wps:cNvSpPr/>
                    <wps:spPr>
                      <a:xfrm>
                        <a:off x="8859647" y="262953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2" name="Rectangle 37582"/>
                    <wps:cNvSpPr/>
                    <wps:spPr>
                      <a:xfrm>
                        <a:off x="8859647" y="280479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3" name="Rectangle 37583"/>
                    <wps:cNvSpPr/>
                    <wps:spPr>
                      <a:xfrm>
                        <a:off x="8859647" y="298005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4" name="Rectangle 37584"/>
                    <wps:cNvSpPr/>
                    <wps:spPr>
                      <a:xfrm>
                        <a:off x="8859647" y="315531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5" name="Rectangle 37585"/>
                    <wps:cNvSpPr/>
                    <wps:spPr>
                      <a:xfrm>
                        <a:off x="8859647" y="333057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6" name="Rectangle 37586"/>
                    <wps:cNvSpPr/>
                    <wps:spPr>
                      <a:xfrm>
                        <a:off x="8859647" y="350583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7" name="Rectangle 37587"/>
                    <wps:cNvSpPr/>
                    <wps:spPr>
                      <a:xfrm>
                        <a:off x="8859647" y="368109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8" name="Rectangle 37588"/>
                    <wps:cNvSpPr/>
                    <wps:spPr>
                      <a:xfrm>
                        <a:off x="8859647" y="3856355"/>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89" name="Rectangle 37589"/>
                    <wps:cNvSpPr/>
                    <wps:spPr>
                      <a:xfrm>
                        <a:off x="8859647" y="403047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90" name="Rectangle 37590"/>
                    <wps:cNvSpPr/>
                    <wps:spPr>
                      <a:xfrm>
                        <a:off x="8859647" y="4205732"/>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91" name="Rectangle 37591"/>
                    <wps:cNvSpPr/>
                    <wps:spPr>
                      <a:xfrm>
                        <a:off x="8859647" y="4380992"/>
                        <a:ext cx="50673" cy="224381"/>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92" name="Rectangle 37592"/>
                    <wps:cNvSpPr/>
                    <wps:spPr>
                      <a:xfrm>
                        <a:off x="8859647" y="455620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93" name="Rectangle 37593"/>
                    <wps:cNvSpPr/>
                    <wps:spPr>
                      <a:xfrm>
                        <a:off x="8859647" y="4731461"/>
                        <a:ext cx="50673" cy="224380"/>
                      </a:xfrm>
                      <a:prstGeom prst="rect">
                        <a:avLst/>
                      </a:prstGeom>
                      <a:ln>
                        <a:noFill/>
                      </a:ln>
                    </wps:spPr>
                    <wps:txbx>
                      <w:txbxContent>
                        <w:p>
                          <w:pPr>
                            <w:spacing w:before="0" w:after="160" w:line="259" w:lineRule="auto"/>
                            <w:ind w:left="0" w:firstLine="0"/>
                            <w:jc w:val="left"/>
                          </w:pPr>
                          <w:r>
                            <w:rPr>
                              <w:sz w:val="24"/>
                            </w:rPr>
                            <w:t xml:space="preserve"> </w:t>
                          </w:r>
                        </w:p>
                      </w:txbxContent>
                    </wps:txbx>
                    <wps:bodyPr horzOverflow="overflow" rtlCol="0" vert="horz" lIns="0" tIns="0" rIns="0" bIns="0">
                      <a:noAutofit/>
                    </wps:bodyPr>
                  </wps:wsp>
                  <wps:wsp>
                    <wps:cNvPr id="37595" name="Shape 37595"/>
                    <wps:cNvSpPr/>
                    <wps:spPr>
                      <a:xfrm>
                        <a:off x="7218045" y="3656609"/>
                        <a:ext cx="914400" cy="323850"/>
                      </a:xfrm>
                      <a:custGeom>
                        <a:pathLst>
                          <a:path w="914400" h="323850">
                            <a:moveTo>
                              <a:pt x="0" y="323850"/>
                            </a:moveTo>
                            <a:lnTo>
                              <a:pt x="914400" y="323850"/>
                            </a:lnTo>
                            <a:lnTo>
                              <a:pt x="91440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37596" name="Rectangle 37596"/>
                    <wps:cNvSpPr/>
                    <wps:spPr>
                      <a:xfrm>
                        <a:off x="7315454" y="3732370"/>
                        <a:ext cx="841847" cy="123537"/>
                      </a:xfrm>
                      <a:prstGeom prst="rect">
                        <a:avLst/>
                      </a:prstGeom>
                      <a:ln>
                        <a:noFill/>
                      </a:ln>
                    </wps:spPr>
                    <wps:txbx>
                      <w:txbxContent>
                        <w:p>
                          <w:pPr>
                            <w:spacing w:before="0" w:after="160" w:line="259" w:lineRule="auto"/>
                            <w:ind w:left="0" w:firstLine="0"/>
                            <w:jc w:val="left"/>
                          </w:pPr>
                          <w:r>
                            <w:rPr>
                              <w:sz w:val="16"/>
                            </w:rPr>
                            <w:t xml:space="preserve">Région de l‟Est</w:t>
                          </w:r>
                        </w:p>
                      </w:txbxContent>
                    </wps:txbx>
                    <wps:bodyPr horzOverflow="overflow" rtlCol="0" vert="horz" lIns="0" tIns="0" rIns="0" bIns="0">
                      <a:noAutofit/>
                    </wps:bodyPr>
                  </wps:wsp>
                  <wps:wsp>
                    <wps:cNvPr id="37597" name="Rectangle 37597"/>
                    <wps:cNvSpPr/>
                    <wps:spPr>
                      <a:xfrm>
                        <a:off x="7948295" y="3712189"/>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598" name="Shape 37598"/>
                    <wps:cNvSpPr/>
                    <wps:spPr>
                      <a:xfrm>
                        <a:off x="6422390" y="2668549"/>
                        <a:ext cx="1198372" cy="995172"/>
                      </a:xfrm>
                      <a:custGeom>
                        <a:pathLst>
                          <a:path w="1198372" h="995172">
                            <a:moveTo>
                              <a:pt x="0" y="0"/>
                            </a:moveTo>
                            <a:lnTo>
                              <a:pt x="82931" y="19304"/>
                            </a:lnTo>
                            <a:lnTo>
                              <a:pt x="62671" y="43743"/>
                            </a:lnTo>
                            <a:lnTo>
                              <a:pt x="1195324" y="983234"/>
                            </a:lnTo>
                            <a:cubicBezTo>
                              <a:pt x="1197991" y="985393"/>
                              <a:pt x="1198372" y="989457"/>
                              <a:pt x="1196086" y="992124"/>
                            </a:cubicBezTo>
                            <a:cubicBezTo>
                              <a:pt x="1193927" y="994791"/>
                              <a:pt x="1189863" y="995172"/>
                              <a:pt x="1187196" y="992886"/>
                            </a:cubicBezTo>
                            <a:lnTo>
                              <a:pt x="54556" y="53532"/>
                            </a:lnTo>
                            <a:lnTo>
                              <a:pt x="34290" y="77978"/>
                            </a:lnTo>
                            <a:lnTo>
                              <a:pt x="0" y="0"/>
                            </a:lnTo>
                            <a:close/>
                          </a:path>
                        </a:pathLst>
                      </a:custGeom>
                      <a:ln w="0" cap="rnd">
                        <a:miter lim="127000"/>
                      </a:ln>
                    </wps:spPr>
                    <wps:style>
                      <a:lnRef idx="0">
                        <a:srgbClr val="000000">
                          <a:alpha val="0"/>
                        </a:srgbClr>
                      </a:lnRef>
                      <a:fillRef idx="1">
                        <a:srgbClr val="000000"/>
                      </a:fillRef>
                      <a:effectRef idx="0"/>
                      <a:fontRef idx="none"/>
                    </wps:style>
                    <wps:bodyPr/>
                  </wps:wsp>
                  <wps:wsp>
                    <wps:cNvPr id="37599" name="Shape 37599"/>
                    <wps:cNvSpPr/>
                    <wps:spPr>
                      <a:xfrm>
                        <a:off x="6910706" y="2268499"/>
                        <a:ext cx="161925" cy="9525"/>
                      </a:xfrm>
                      <a:custGeom>
                        <a:pathLst>
                          <a:path w="161925" h="9525">
                            <a:moveTo>
                              <a:pt x="0" y="0"/>
                            </a:moveTo>
                            <a:lnTo>
                              <a:pt x="161925" y="9525"/>
                            </a:lnTo>
                          </a:path>
                        </a:pathLst>
                      </a:custGeom>
                      <a:ln w="9525" cap="rnd">
                        <a:round/>
                      </a:ln>
                    </wps:spPr>
                    <wps:style>
                      <a:lnRef idx="1">
                        <a:srgbClr val="ffff00"/>
                      </a:lnRef>
                      <a:fillRef idx="0">
                        <a:srgbClr val="000000">
                          <a:alpha val="0"/>
                        </a:srgbClr>
                      </a:fillRef>
                      <a:effectRef idx="0"/>
                      <a:fontRef idx="none"/>
                    </wps:style>
                    <wps:bodyPr/>
                  </wps:wsp>
                  <wps:wsp>
                    <wps:cNvPr id="37600" name="Shape 37600"/>
                    <wps:cNvSpPr/>
                    <wps:spPr>
                      <a:xfrm>
                        <a:off x="5666740" y="2364384"/>
                        <a:ext cx="2225040" cy="6985"/>
                      </a:xfrm>
                      <a:custGeom>
                        <a:pathLst>
                          <a:path w="2225040" h="6985">
                            <a:moveTo>
                              <a:pt x="0" y="6985"/>
                            </a:moveTo>
                            <a:lnTo>
                              <a:pt x="2225040" y="0"/>
                            </a:lnTo>
                          </a:path>
                        </a:pathLst>
                      </a:custGeom>
                      <a:ln w="9525" cap="rnd">
                        <a:round/>
                      </a:ln>
                    </wps:spPr>
                    <wps:style>
                      <a:lnRef idx="1">
                        <a:srgbClr val="ffff00"/>
                      </a:lnRef>
                      <a:fillRef idx="0">
                        <a:srgbClr val="000000">
                          <a:alpha val="0"/>
                        </a:srgbClr>
                      </a:fillRef>
                      <a:effectRef idx="0"/>
                      <a:fontRef idx="none"/>
                    </wps:style>
                    <wps:bodyPr/>
                  </wps:wsp>
                  <wps:wsp>
                    <wps:cNvPr id="37601" name="Shape 37601"/>
                    <wps:cNvSpPr/>
                    <wps:spPr>
                      <a:xfrm>
                        <a:off x="5754370" y="2516149"/>
                        <a:ext cx="1755775" cy="635"/>
                      </a:xfrm>
                      <a:custGeom>
                        <a:pathLst>
                          <a:path w="1755775" h="635">
                            <a:moveTo>
                              <a:pt x="0" y="0"/>
                            </a:moveTo>
                            <a:lnTo>
                              <a:pt x="1755775" y="635"/>
                            </a:lnTo>
                          </a:path>
                        </a:pathLst>
                      </a:custGeom>
                      <a:ln w="9525" cap="rnd">
                        <a:round/>
                      </a:ln>
                    </wps:spPr>
                    <wps:style>
                      <a:lnRef idx="1">
                        <a:srgbClr val="ffff00"/>
                      </a:lnRef>
                      <a:fillRef idx="0">
                        <a:srgbClr val="000000">
                          <a:alpha val="0"/>
                        </a:srgbClr>
                      </a:fillRef>
                      <a:effectRef idx="0"/>
                      <a:fontRef idx="none"/>
                    </wps:style>
                    <wps:bodyPr/>
                  </wps:wsp>
                  <wps:wsp>
                    <wps:cNvPr id="37602" name="Shape 37602"/>
                    <wps:cNvSpPr/>
                    <wps:spPr>
                      <a:xfrm>
                        <a:off x="5851525" y="2668549"/>
                        <a:ext cx="1857375" cy="0"/>
                      </a:xfrm>
                      <a:custGeom>
                        <a:pathLst>
                          <a:path w="1857375" h="0">
                            <a:moveTo>
                              <a:pt x="0" y="0"/>
                            </a:moveTo>
                            <a:lnTo>
                              <a:pt x="1857375" y="0"/>
                            </a:lnTo>
                          </a:path>
                        </a:pathLst>
                      </a:custGeom>
                      <a:ln w="9525" cap="rnd">
                        <a:round/>
                      </a:ln>
                    </wps:spPr>
                    <wps:style>
                      <a:lnRef idx="1">
                        <a:srgbClr val="ffff00"/>
                      </a:lnRef>
                      <a:fillRef idx="0">
                        <a:srgbClr val="000000">
                          <a:alpha val="0"/>
                        </a:srgbClr>
                      </a:fillRef>
                      <a:effectRef idx="0"/>
                      <a:fontRef idx="none"/>
                    </wps:style>
                    <wps:bodyPr/>
                  </wps:wsp>
                  <wps:wsp>
                    <wps:cNvPr id="37603" name="Shape 37603"/>
                    <wps:cNvSpPr/>
                    <wps:spPr>
                      <a:xfrm>
                        <a:off x="5754370" y="2839999"/>
                        <a:ext cx="2066925" cy="635"/>
                      </a:xfrm>
                      <a:custGeom>
                        <a:pathLst>
                          <a:path w="2066925" h="635">
                            <a:moveTo>
                              <a:pt x="0" y="0"/>
                            </a:moveTo>
                            <a:lnTo>
                              <a:pt x="2066925" y="635"/>
                            </a:lnTo>
                          </a:path>
                        </a:pathLst>
                      </a:custGeom>
                      <a:ln w="9525" cap="rnd">
                        <a:round/>
                      </a:ln>
                    </wps:spPr>
                    <wps:style>
                      <a:lnRef idx="1">
                        <a:srgbClr val="ffff00"/>
                      </a:lnRef>
                      <a:fillRef idx="0">
                        <a:srgbClr val="000000">
                          <a:alpha val="0"/>
                        </a:srgbClr>
                      </a:fillRef>
                      <a:effectRef idx="0"/>
                      <a:fontRef idx="none"/>
                    </wps:style>
                    <wps:bodyPr/>
                  </wps:wsp>
                  <wps:wsp>
                    <wps:cNvPr id="37604" name="Shape 37604"/>
                    <wps:cNvSpPr/>
                    <wps:spPr>
                      <a:xfrm>
                        <a:off x="6003925" y="2992399"/>
                        <a:ext cx="1819275" cy="9525"/>
                      </a:xfrm>
                      <a:custGeom>
                        <a:pathLst>
                          <a:path w="1819275" h="9525">
                            <a:moveTo>
                              <a:pt x="0" y="9525"/>
                            </a:moveTo>
                            <a:lnTo>
                              <a:pt x="1819275" y="0"/>
                            </a:lnTo>
                          </a:path>
                        </a:pathLst>
                      </a:custGeom>
                      <a:ln w="9525" cap="rnd">
                        <a:round/>
                      </a:ln>
                    </wps:spPr>
                    <wps:style>
                      <a:lnRef idx="1">
                        <a:srgbClr val="ffff00"/>
                      </a:lnRef>
                      <a:fillRef idx="0">
                        <a:srgbClr val="000000">
                          <a:alpha val="0"/>
                        </a:srgbClr>
                      </a:fillRef>
                      <a:effectRef idx="0"/>
                      <a:fontRef idx="none"/>
                    </wps:style>
                    <wps:bodyPr/>
                  </wps:wsp>
                  <wps:wsp>
                    <wps:cNvPr id="37605" name="Shape 37605"/>
                    <wps:cNvSpPr/>
                    <wps:spPr>
                      <a:xfrm>
                        <a:off x="6337300" y="3163849"/>
                        <a:ext cx="1276350" cy="9525"/>
                      </a:xfrm>
                      <a:custGeom>
                        <a:pathLst>
                          <a:path w="1276350" h="9525">
                            <a:moveTo>
                              <a:pt x="0" y="9525"/>
                            </a:moveTo>
                            <a:lnTo>
                              <a:pt x="1276350" y="0"/>
                            </a:lnTo>
                          </a:path>
                        </a:pathLst>
                      </a:custGeom>
                      <a:ln w="9525" cap="rnd">
                        <a:round/>
                      </a:ln>
                    </wps:spPr>
                    <wps:style>
                      <a:lnRef idx="1">
                        <a:srgbClr val="ffff00"/>
                      </a:lnRef>
                      <a:fillRef idx="0">
                        <a:srgbClr val="000000">
                          <a:alpha val="0"/>
                        </a:srgbClr>
                      </a:fillRef>
                      <a:effectRef idx="0"/>
                      <a:fontRef idx="none"/>
                    </wps:style>
                    <wps:bodyPr/>
                  </wps:wsp>
                  <wps:wsp>
                    <wps:cNvPr id="37606" name="Shape 37606"/>
                    <wps:cNvSpPr/>
                    <wps:spPr>
                      <a:xfrm>
                        <a:off x="6337300" y="3326409"/>
                        <a:ext cx="628650" cy="9525"/>
                      </a:xfrm>
                      <a:custGeom>
                        <a:pathLst>
                          <a:path w="628650" h="9525">
                            <a:moveTo>
                              <a:pt x="0" y="0"/>
                            </a:moveTo>
                            <a:lnTo>
                              <a:pt x="628650" y="9525"/>
                            </a:lnTo>
                          </a:path>
                        </a:pathLst>
                      </a:custGeom>
                      <a:ln w="9525" cap="rnd">
                        <a:round/>
                      </a:ln>
                    </wps:spPr>
                    <wps:style>
                      <a:lnRef idx="1">
                        <a:srgbClr val="ffff00"/>
                      </a:lnRef>
                      <a:fillRef idx="0">
                        <a:srgbClr val="000000">
                          <a:alpha val="0"/>
                        </a:srgbClr>
                      </a:fillRef>
                      <a:effectRef idx="0"/>
                      <a:fontRef idx="none"/>
                    </wps:style>
                    <wps:bodyPr/>
                  </wps:wsp>
                  <wps:wsp>
                    <wps:cNvPr id="37607" name="Shape 37607"/>
                    <wps:cNvSpPr/>
                    <wps:spPr>
                      <a:xfrm>
                        <a:off x="6337300" y="3478809"/>
                        <a:ext cx="390525" cy="19050"/>
                      </a:xfrm>
                      <a:custGeom>
                        <a:pathLst>
                          <a:path w="390525" h="19050">
                            <a:moveTo>
                              <a:pt x="0" y="0"/>
                            </a:moveTo>
                            <a:lnTo>
                              <a:pt x="390525" y="19050"/>
                            </a:lnTo>
                          </a:path>
                        </a:pathLst>
                      </a:custGeom>
                      <a:ln w="9525" cap="rnd">
                        <a:round/>
                      </a:ln>
                    </wps:spPr>
                    <wps:style>
                      <a:lnRef idx="1">
                        <a:srgbClr val="ffff00"/>
                      </a:lnRef>
                      <a:fillRef idx="0">
                        <a:srgbClr val="000000">
                          <a:alpha val="0"/>
                        </a:srgbClr>
                      </a:fillRef>
                      <a:effectRef idx="0"/>
                      <a:fontRef idx="none"/>
                    </wps:style>
                    <wps:bodyPr/>
                  </wps:wsp>
                  <wps:wsp>
                    <wps:cNvPr id="37609" name="Shape 37609"/>
                    <wps:cNvSpPr/>
                    <wps:spPr>
                      <a:xfrm>
                        <a:off x="6965950" y="1201699"/>
                        <a:ext cx="1060450" cy="323850"/>
                      </a:xfrm>
                      <a:custGeom>
                        <a:pathLst>
                          <a:path w="1060450" h="323850">
                            <a:moveTo>
                              <a:pt x="0" y="323850"/>
                            </a:moveTo>
                            <a:lnTo>
                              <a:pt x="1060450" y="323850"/>
                            </a:lnTo>
                            <a:lnTo>
                              <a:pt x="1060450" y="0"/>
                            </a:lnTo>
                            <a:lnTo>
                              <a:pt x="0" y="0"/>
                            </a:lnTo>
                            <a:close/>
                          </a:path>
                        </a:pathLst>
                      </a:custGeom>
                      <a:ln w="9525" cap="rnd">
                        <a:miter lim="101600"/>
                      </a:ln>
                    </wps:spPr>
                    <wps:style>
                      <a:lnRef idx="1">
                        <a:srgbClr val="000000"/>
                      </a:lnRef>
                      <a:fillRef idx="0">
                        <a:srgbClr val="000000">
                          <a:alpha val="0"/>
                        </a:srgbClr>
                      </a:fillRef>
                      <a:effectRef idx="0"/>
                      <a:fontRef idx="none"/>
                    </wps:style>
                    <wps:bodyPr/>
                  </wps:wsp>
                  <wps:wsp>
                    <wps:cNvPr id="37610" name="Rectangle 37610"/>
                    <wps:cNvSpPr/>
                    <wps:spPr>
                      <a:xfrm>
                        <a:off x="7063994" y="1253723"/>
                        <a:ext cx="987836" cy="150334"/>
                      </a:xfrm>
                      <a:prstGeom prst="rect">
                        <a:avLst/>
                      </a:prstGeom>
                      <a:ln>
                        <a:noFill/>
                      </a:ln>
                    </wps:spPr>
                    <wps:txbx>
                      <w:txbxContent>
                        <w:p>
                          <w:pPr>
                            <w:spacing w:before="0" w:after="160" w:line="259" w:lineRule="auto"/>
                            <w:ind w:left="0" w:firstLine="0"/>
                            <w:jc w:val="left"/>
                          </w:pPr>
                          <w:r>
                            <w:rPr>
                              <w:sz w:val="16"/>
                            </w:rPr>
                            <w:t xml:space="preserve">Région du Centre </w:t>
                          </w:r>
                        </w:p>
                      </w:txbxContent>
                    </wps:txbx>
                    <wps:bodyPr horzOverflow="overflow" rtlCol="0" vert="horz" lIns="0" tIns="0" rIns="0" bIns="0">
                      <a:noAutofit/>
                    </wps:bodyPr>
                  </wps:wsp>
                  <wps:wsp>
                    <wps:cNvPr id="37611" name="Rectangle 37611"/>
                    <wps:cNvSpPr/>
                    <wps:spPr>
                      <a:xfrm>
                        <a:off x="7063994" y="1371071"/>
                        <a:ext cx="276632" cy="150334"/>
                      </a:xfrm>
                      <a:prstGeom prst="rect">
                        <a:avLst/>
                      </a:prstGeom>
                      <a:ln>
                        <a:noFill/>
                      </a:ln>
                    </wps:spPr>
                    <wps:txbx>
                      <w:txbxContent>
                        <w:p>
                          <w:pPr>
                            <w:spacing w:before="0" w:after="160" w:line="259" w:lineRule="auto"/>
                            <w:ind w:left="0" w:firstLine="0"/>
                            <w:jc w:val="left"/>
                          </w:pPr>
                          <w:r>
                            <w:rPr>
                              <w:sz w:val="16"/>
                            </w:rPr>
                            <w:t xml:space="preserve">Nord</w:t>
                          </w:r>
                        </w:p>
                      </w:txbxContent>
                    </wps:txbx>
                    <wps:bodyPr horzOverflow="overflow" rtlCol="0" vert="horz" lIns="0" tIns="0" rIns="0" bIns="0">
                      <a:noAutofit/>
                    </wps:bodyPr>
                  </wps:wsp>
                  <wps:wsp>
                    <wps:cNvPr id="37612" name="Rectangle 37612"/>
                    <wps:cNvSpPr/>
                    <wps:spPr>
                      <a:xfrm>
                        <a:off x="7272782" y="1371071"/>
                        <a:ext cx="33951" cy="150334"/>
                      </a:xfrm>
                      <a:prstGeom prst="rect">
                        <a:avLst/>
                      </a:prstGeom>
                      <a:ln>
                        <a:noFill/>
                      </a:ln>
                    </wps:spPr>
                    <wps:txbx>
                      <w:txbxContent>
                        <w:p>
                          <w:pPr>
                            <w:spacing w:before="0" w:after="160" w:line="259" w:lineRule="auto"/>
                            <w:ind w:left="0" w:firstLine="0"/>
                            <w:jc w:val="left"/>
                          </w:pPr>
                          <w:r>
                            <w:rPr>
                              <w:sz w:val="16"/>
                            </w:rPr>
                            <w:t xml:space="preserve"> </w:t>
                          </w:r>
                        </w:p>
                      </w:txbxContent>
                    </wps:txbx>
                    <wps:bodyPr horzOverflow="overflow" rtlCol="0" vert="horz" lIns="0" tIns="0" rIns="0" bIns="0">
                      <a:noAutofit/>
                    </wps:bodyPr>
                  </wps:wsp>
                  <wps:wsp>
                    <wps:cNvPr id="37613" name="Shape 37613"/>
                    <wps:cNvSpPr/>
                    <wps:spPr>
                      <a:xfrm>
                        <a:off x="5022850" y="1428394"/>
                        <a:ext cx="361950" cy="0"/>
                      </a:xfrm>
                      <a:custGeom>
                        <a:pathLst>
                          <a:path w="361950" h="0">
                            <a:moveTo>
                              <a:pt x="361950" y="0"/>
                            </a:moveTo>
                            <a:lnTo>
                              <a:pt x="0" y="0"/>
                            </a:lnTo>
                          </a:path>
                        </a:pathLst>
                      </a:custGeom>
                      <a:ln w="9525" cap="rnd">
                        <a:round/>
                      </a:ln>
                    </wps:spPr>
                    <wps:style>
                      <a:lnRef idx="1">
                        <a:srgbClr val="ffff00"/>
                      </a:lnRef>
                      <a:fillRef idx="0">
                        <a:srgbClr val="000000">
                          <a:alpha val="0"/>
                        </a:srgbClr>
                      </a:fillRef>
                      <a:effectRef idx="0"/>
                      <a:fontRef idx="none"/>
                    </wps:style>
                    <wps:bodyPr/>
                  </wps:wsp>
                  <wps:wsp>
                    <wps:cNvPr id="37614" name="Shape 37614"/>
                    <wps:cNvSpPr/>
                    <wps:spPr>
                      <a:xfrm>
                        <a:off x="4333875" y="1525549"/>
                        <a:ext cx="1050925" cy="635"/>
                      </a:xfrm>
                      <a:custGeom>
                        <a:pathLst>
                          <a:path w="1050925" h="635">
                            <a:moveTo>
                              <a:pt x="0" y="0"/>
                            </a:moveTo>
                            <a:lnTo>
                              <a:pt x="1050925" y="635"/>
                            </a:lnTo>
                          </a:path>
                        </a:pathLst>
                      </a:custGeom>
                      <a:ln w="9525" cap="rnd">
                        <a:round/>
                      </a:ln>
                    </wps:spPr>
                    <wps:style>
                      <a:lnRef idx="1">
                        <a:srgbClr val="ffff00"/>
                      </a:lnRef>
                      <a:fillRef idx="0">
                        <a:srgbClr val="000000">
                          <a:alpha val="0"/>
                        </a:srgbClr>
                      </a:fillRef>
                      <a:effectRef idx="0"/>
                      <a:fontRef idx="none"/>
                    </wps:style>
                    <wps:bodyPr/>
                  </wps:wsp>
                  <wps:wsp>
                    <wps:cNvPr id="37615" name="Shape 37615"/>
                    <wps:cNvSpPr/>
                    <wps:spPr>
                      <a:xfrm>
                        <a:off x="4321810" y="1658899"/>
                        <a:ext cx="1266190" cy="0"/>
                      </a:xfrm>
                      <a:custGeom>
                        <a:pathLst>
                          <a:path w="1266190" h="0">
                            <a:moveTo>
                              <a:pt x="0" y="0"/>
                            </a:moveTo>
                            <a:lnTo>
                              <a:pt x="1266190" y="0"/>
                            </a:lnTo>
                          </a:path>
                        </a:pathLst>
                      </a:custGeom>
                      <a:ln w="9525" cap="rnd">
                        <a:round/>
                      </a:ln>
                    </wps:spPr>
                    <wps:style>
                      <a:lnRef idx="1">
                        <a:srgbClr val="ffff00"/>
                      </a:lnRef>
                      <a:fillRef idx="0">
                        <a:srgbClr val="000000">
                          <a:alpha val="0"/>
                        </a:srgbClr>
                      </a:fillRef>
                      <a:effectRef idx="0"/>
                      <a:fontRef idx="none"/>
                    </wps:style>
                    <wps:bodyPr/>
                  </wps:wsp>
                  <wps:wsp>
                    <wps:cNvPr id="37616" name="Shape 37616"/>
                    <wps:cNvSpPr/>
                    <wps:spPr>
                      <a:xfrm>
                        <a:off x="4384675" y="1764309"/>
                        <a:ext cx="1544955" cy="0"/>
                      </a:xfrm>
                      <a:custGeom>
                        <a:pathLst>
                          <a:path w="1544955" h="0">
                            <a:moveTo>
                              <a:pt x="0" y="0"/>
                            </a:moveTo>
                            <a:lnTo>
                              <a:pt x="1544955" y="0"/>
                            </a:lnTo>
                          </a:path>
                        </a:pathLst>
                      </a:custGeom>
                      <a:ln w="9525" cap="rnd">
                        <a:round/>
                      </a:ln>
                    </wps:spPr>
                    <wps:style>
                      <a:lnRef idx="1">
                        <a:srgbClr val="ffff00"/>
                      </a:lnRef>
                      <a:fillRef idx="0">
                        <a:srgbClr val="000000">
                          <a:alpha val="0"/>
                        </a:srgbClr>
                      </a:fillRef>
                      <a:effectRef idx="0"/>
                      <a:fontRef idx="none"/>
                    </wps:style>
                    <wps:bodyPr/>
                  </wps:wsp>
                  <wps:wsp>
                    <wps:cNvPr id="37617" name="Shape 37617"/>
                    <wps:cNvSpPr/>
                    <wps:spPr>
                      <a:xfrm>
                        <a:off x="4384675" y="1877974"/>
                        <a:ext cx="1663700" cy="635"/>
                      </a:xfrm>
                      <a:custGeom>
                        <a:pathLst>
                          <a:path w="1663700" h="635">
                            <a:moveTo>
                              <a:pt x="0" y="0"/>
                            </a:moveTo>
                            <a:lnTo>
                              <a:pt x="1663700" y="635"/>
                            </a:lnTo>
                          </a:path>
                        </a:pathLst>
                      </a:custGeom>
                      <a:ln w="9525" cap="rnd">
                        <a:round/>
                      </a:ln>
                    </wps:spPr>
                    <wps:style>
                      <a:lnRef idx="1">
                        <a:srgbClr val="ffff00"/>
                      </a:lnRef>
                      <a:fillRef idx="0">
                        <a:srgbClr val="000000">
                          <a:alpha val="0"/>
                        </a:srgbClr>
                      </a:fillRef>
                      <a:effectRef idx="0"/>
                      <a:fontRef idx="none"/>
                    </wps:style>
                    <wps:bodyPr/>
                  </wps:wsp>
                  <wps:wsp>
                    <wps:cNvPr id="37618" name="Shape 37618"/>
                    <wps:cNvSpPr/>
                    <wps:spPr>
                      <a:xfrm>
                        <a:off x="4445000" y="2020849"/>
                        <a:ext cx="2216150" cy="635"/>
                      </a:xfrm>
                      <a:custGeom>
                        <a:pathLst>
                          <a:path w="2216150" h="635">
                            <a:moveTo>
                              <a:pt x="0" y="0"/>
                            </a:moveTo>
                            <a:lnTo>
                              <a:pt x="2216150" y="635"/>
                            </a:lnTo>
                          </a:path>
                        </a:pathLst>
                      </a:custGeom>
                      <a:ln w="9525" cap="rnd">
                        <a:round/>
                      </a:ln>
                    </wps:spPr>
                    <wps:style>
                      <a:lnRef idx="1">
                        <a:srgbClr val="ffff00"/>
                      </a:lnRef>
                      <a:fillRef idx="0">
                        <a:srgbClr val="000000">
                          <a:alpha val="0"/>
                        </a:srgbClr>
                      </a:fillRef>
                      <a:effectRef idx="0"/>
                      <a:fontRef idx="none"/>
                    </wps:style>
                    <wps:bodyPr/>
                  </wps:wsp>
                  <wps:wsp>
                    <wps:cNvPr id="37619" name="Shape 37619"/>
                    <wps:cNvSpPr/>
                    <wps:spPr>
                      <a:xfrm>
                        <a:off x="4606925" y="2144674"/>
                        <a:ext cx="2244725" cy="0"/>
                      </a:xfrm>
                      <a:custGeom>
                        <a:pathLst>
                          <a:path w="2244725" h="0">
                            <a:moveTo>
                              <a:pt x="0" y="0"/>
                            </a:moveTo>
                            <a:lnTo>
                              <a:pt x="2244725" y="0"/>
                            </a:lnTo>
                          </a:path>
                        </a:pathLst>
                      </a:custGeom>
                      <a:ln w="9525" cap="rnd">
                        <a:round/>
                      </a:ln>
                    </wps:spPr>
                    <wps:style>
                      <a:lnRef idx="1">
                        <a:srgbClr val="ffff00"/>
                      </a:lnRef>
                      <a:fillRef idx="0">
                        <a:srgbClr val="000000">
                          <a:alpha val="0"/>
                        </a:srgbClr>
                      </a:fillRef>
                      <a:effectRef idx="0"/>
                      <a:fontRef idx="none"/>
                    </wps:style>
                    <wps:bodyPr/>
                  </wps:wsp>
                  <wps:wsp>
                    <wps:cNvPr id="37620" name="Shape 37620"/>
                    <wps:cNvSpPr/>
                    <wps:spPr>
                      <a:xfrm>
                        <a:off x="4878705" y="2279929"/>
                        <a:ext cx="709295" cy="0"/>
                      </a:xfrm>
                      <a:custGeom>
                        <a:pathLst>
                          <a:path w="709295" h="0">
                            <a:moveTo>
                              <a:pt x="0" y="0"/>
                            </a:moveTo>
                            <a:lnTo>
                              <a:pt x="709295" y="0"/>
                            </a:lnTo>
                          </a:path>
                        </a:pathLst>
                      </a:custGeom>
                      <a:ln w="9525" cap="rnd">
                        <a:round/>
                      </a:ln>
                    </wps:spPr>
                    <wps:style>
                      <a:lnRef idx="1">
                        <a:srgbClr val="ffff00"/>
                      </a:lnRef>
                      <a:fillRef idx="0">
                        <a:srgbClr val="000000">
                          <a:alpha val="0"/>
                        </a:srgbClr>
                      </a:fillRef>
                      <a:effectRef idx="0"/>
                      <a:fontRef idx="none"/>
                    </wps:style>
                    <wps:bodyPr/>
                  </wps:wsp>
                  <wps:wsp>
                    <wps:cNvPr id="37621" name="Shape 37621"/>
                    <wps:cNvSpPr/>
                    <wps:spPr>
                      <a:xfrm>
                        <a:off x="5280025" y="2268499"/>
                        <a:ext cx="1571625" cy="9525"/>
                      </a:xfrm>
                      <a:custGeom>
                        <a:pathLst>
                          <a:path w="1571625" h="9525">
                            <a:moveTo>
                              <a:pt x="0" y="9525"/>
                            </a:moveTo>
                            <a:lnTo>
                              <a:pt x="1571625" y="0"/>
                            </a:lnTo>
                          </a:path>
                        </a:pathLst>
                      </a:custGeom>
                      <a:ln w="9525" cap="rnd">
                        <a:round/>
                      </a:ln>
                    </wps:spPr>
                    <wps:style>
                      <a:lnRef idx="1">
                        <a:srgbClr val="ffff00"/>
                      </a:lnRef>
                      <a:fillRef idx="0">
                        <a:srgbClr val="000000">
                          <a:alpha val="0"/>
                        </a:srgbClr>
                      </a:fillRef>
                      <a:effectRef idx="0"/>
                      <a:fontRef idx="none"/>
                    </wps:style>
                    <wps:bodyPr/>
                  </wps:wsp>
                  <wps:wsp>
                    <wps:cNvPr id="37622" name="Shape 37622"/>
                    <wps:cNvSpPr/>
                    <wps:spPr>
                      <a:xfrm>
                        <a:off x="5099050" y="1346987"/>
                        <a:ext cx="1874012" cy="547751"/>
                      </a:xfrm>
                      <a:custGeom>
                        <a:pathLst>
                          <a:path w="1874012" h="547751">
                            <a:moveTo>
                              <a:pt x="1865122" y="1016"/>
                            </a:moveTo>
                            <a:cubicBezTo>
                              <a:pt x="1868551" y="0"/>
                              <a:pt x="1872107" y="2032"/>
                              <a:pt x="1872996" y="5334"/>
                            </a:cubicBezTo>
                            <a:cubicBezTo>
                              <a:pt x="1874012" y="8763"/>
                              <a:pt x="1871980" y="12319"/>
                              <a:pt x="1868678" y="13208"/>
                            </a:cubicBezTo>
                            <a:lnTo>
                              <a:pt x="75062" y="517146"/>
                            </a:lnTo>
                            <a:lnTo>
                              <a:pt x="83693" y="547751"/>
                            </a:lnTo>
                            <a:lnTo>
                              <a:pt x="0" y="531622"/>
                            </a:lnTo>
                            <a:lnTo>
                              <a:pt x="62992" y="474345"/>
                            </a:lnTo>
                            <a:lnTo>
                              <a:pt x="71624" y="504956"/>
                            </a:lnTo>
                            <a:lnTo>
                              <a:pt x="1865122" y="1016"/>
                            </a:lnTo>
                            <a:close/>
                          </a:path>
                        </a:pathLst>
                      </a:custGeom>
                      <a:ln w="0" cap="rnd">
                        <a:round/>
                      </a:ln>
                    </wps:spPr>
                    <wps:style>
                      <a:lnRef idx="0">
                        <a:srgbClr val="000000">
                          <a:alpha val="0"/>
                        </a:srgbClr>
                      </a:lnRef>
                      <a:fillRef idx="1">
                        <a:srgbClr val="000000"/>
                      </a:fillRef>
                      <a:effectRef idx="0"/>
                      <a:fontRef idx="none"/>
                    </wps:style>
                    <wps:bodyPr/>
                  </wps:wsp>
                </wpg:wgp>
              </a:graphicData>
            </a:graphic>
          </wp:inline>
        </w:drawing>
      </w:r>
    </w:p>
    <w:p>
      <w:pPr>
        <w:spacing w:before="0" w:after="0" w:line="259" w:lineRule="auto"/>
        <w:ind w:left="58" w:firstLine="0"/>
        <w:jc w:val="left"/>
      </w:pPr>
      <w:r>
        <w:rPr>
          <w:rFonts w:cs="Calibri" w:hAnsi="Calibri" w:eastAsia="Calibri" w:ascii="Calibri"/>
          <w:b w:val="1"/>
          <w:sz w:val="18"/>
        </w:rPr>
        <w:t xml:space="preserve">ANNEXE 3 Budget de l'unité de coordination</w:t>
      </w:r>
      <w:r>
        <w:rPr>
          <w:rFonts w:cs="Calibri" w:hAnsi="Calibri" w:eastAsia="Calibri" w:ascii="Calibri"/>
          <w:b w:val="1"/>
          <w:sz w:val="18"/>
        </w:rPr>
        <w:t xml:space="preserve"> </w:t>
      </w:r>
    </w:p>
    <w:p>
      <w:pPr>
        <w:spacing w:before="0" w:after="43" w:line="259" w:lineRule="auto"/>
        <w:ind w:left="-12" w:right="-234" w:firstLine="0"/>
        <w:jc w:val="left"/>
      </w:pPr>
      <w:r>
        <w:rPr>
          <w:rFonts w:cs="Calibri" w:hAnsi="Calibri" w:eastAsia="Calibri" w:ascii="Calibri"/>
          <w:sz w:val="22"/>
        </w:rPr>
        <w:drawing>
          <wp:inline distT="0" distB="0" distL="0" distR="0">
            <wp:extent cx="8756650" cy="12192"/>
            <wp:docPr id="179061" name="Group 179061"/>
            <wp:cNvGraphicFramePr/>
            <a:graphic>
              <a:graphicData uri="http://schemas.microsoft.com/office/word/2010/wordprocessingGroup">
                <wpg:wgp>
                  <wpg:cNvGrpSpPr/>
                  <wpg:grpSpPr>
                    <a:xfrm>
                      <a:off x="0" y="0"/>
                      <a:ext cx="8756650" cy="12192"/>
                      <a:chOff x="0" y="0"/>
                      <a:chExt cx="8756650" cy="12192"/>
                    </a:xfrm>
                  </wpg:grpSpPr>
                  <wps:wsp>
                    <wps:cNvPr id="187332" name="Shape 187332"/>
                    <wps:cNvSpPr/>
                    <wps:spPr>
                      <a:xfrm>
                        <a:off x="0" y="0"/>
                        <a:ext cx="1620266" cy="12192"/>
                      </a:xfrm>
                      <a:custGeom>
                        <a:pathLst>
                          <a:path w="1620266" h="12192">
                            <a:moveTo>
                              <a:pt x="0" y="0"/>
                            </a:moveTo>
                            <a:lnTo>
                              <a:pt x="1620266" y="0"/>
                            </a:lnTo>
                            <a:lnTo>
                              <a:pt x="1620266"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3" name="Shape 187333"/>
                    <wps:cNvSpPr/>
                    <wps:spPr>
                      <a:xfrm>
                        <a:off x="1620266"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4" name="Shape 187334"/>
                    <wps:cNvSpPr/>
                    <wps:spPr>
                      <a:xfrm>
                        <a:off x="1632458" y="0"/>
                        <a:ext cx="824484" cy="12192"/>
                      </a:xfrm>
                      <a:custGeom>
                        <a:pathLst>
                          <a:path w="824484" h="12192">
                            <a:moveTo>
                              <a:pt x="0" y="0"/>
                            </a:moveTo>
                            <a:lnTo>
                              <a:pt x="824484" y="0"/>
                            </a:lnTo>
                            <a:lnTo>
                              <a:pt x="824484"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5" name="Shape 187335"/>
                    <wps:cNvSpPr/>
                    <wps:spPr>
                      <a:xfrm>
                        <a:off x="2456942"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6" name="Shape 187336"/>
                    <wps:cNvSpPr/>
                    <wps:spPr>
                      <a:xfrm>
                        <a:off x="2469134" y="0"/>
                        <a:ext cx="676961" cy="12192"/>
                      </a:xfrm>
                      <a:custGeom>
                        <a:pathLst>
                          <a:path w="676961" h="12192">
                            <a:moveTo>
                              <a:pt x="0" y="0"/>
                            </a:moveTo>
                            <a:lnTo>
                              <a:pt x="676961" y="0"/>
                            </a:lnTo>
                            <a:lnTo>
                              <a:pt x="676961"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7" name="Shape 187337"/>
                    <wps:cNvSpPr/>
                    <wps:spPr>
                      <a:xfrm>
                        <a:off x="3146171"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8" name="Shape 187338"/>
                    <wps:cNvSpPr/>
                    <wps:spPr>
                      <a:xfrm>
                        <a:off x="3158363" y="0"/>
                        <a:ext cx="847344" cy="12192"/>
                      </a:xfrm>
                      <a:custGeom>
                        <a:pathLst>
                          <a:path w="847344" h="12192">
                            <a:moveTo>
                              <a:pt x="0" y="0"/>
                            </a:moveTo>
                            <a:lnTo>
                              <a:pt x="847344" y="0"/>
                            </a:lnTo>
                            <a:lnTo>
                              <a:pt x="847344"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39" name="Shape 187339"/>
                    <wps:cNvSpPr/>
                    <wps:spPr>
                      <a:xfrm>
                        <a:off x="4005707"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0" name="Shape 187340"/>
                    <wps:cNvSpPr/>
                    <wps:spPr>
                      <a:xfrm>
                        <a:off x="4017899" y="0"/>
                        <a:ext cx="987552" cy="12192"/>
                      </a:xfrm>
                      <a:custGeom>
                        <a:pathLst>
                          <a:path w="987552" h="12192">
                            <a:moveTo>
                              <a:pt x="0" y="0"/>
                            </a:moveTo>
                            <a:lnTo>
                              <a:pt x="987552" y="0"/>
                            </a:lnTo>
                            <a:lnTo>
                              <a:pt x="98755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1" name="Shape 187341"/>
                    <wps:cNvSpPr/>
                    <wps:spPr>
                      <a:xfrm>
                        <a:off x="5005451"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2" name="Shape 187342"/>
                    <wps:cNvSpPr/>
                    <wps:spPr>
                      <a:xfrm>
                        <a:off x="5017643" y="0"/>
                        <a:ext cx="974141" cy="12192"/>
                      </a:xfrm>
                      <a:custGeom>
                        <a:pathLst>
                          <a:path w="974141" h="12192">
                            <a:moveTo>
                              <a:pt x="0" y="0"/>
                            </a:moveTo>
                            <a:lnTo>
                              <a:pt x="974141" y="0"/>
                            </a:lnTo>
                            <a:lnTo>
                              <a:pt x="974141"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3" name="Shape 187343"/>
                    <wps:cNvSpPr/>
                    <wps:spPr>
                      <a:xfrm>
                        <a:off x="5991733"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4" name="Shape 187344"/>
                    <wps:cNvSpPr/>
                    <wps:spPr>
                      <a:xfrm>
                        <a:off x="6003926" y="0"/>
                        <a:ext cx="906780" cy="12192"/>
                      </a:xfrm>
                      <a:custGeom>
                        <a:pathLst>
                          <a:path w="906780" h="12192">
                            <a:moveTo>
                              <a:pt x="0" y="0"/>
                            </a:moveTo>
                            <a:lnTo>
                              <a:pt x="906780" y="0"/>
                            </a:lnTo>
                            <a:lnTo>
                              <a:pt x="906780"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5" name="Shape 187345"/>
                    <wps:cNvSpPr/>
                    <wps:spPr>
                      <a:xfrm>
                        <a:off x="6910705"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6" name="Shape 187346"/>
                    <wps:cNvSpPr/>
                    <wps:spPr>
                      <a:xfrm>
                        <a:off x="6922897" y="0"/>
                        <a:ext cx="905561" cy="12192"/>
                      </a:xfrm>
                      <a:custGeom>
                        <a:pathLst>
                          <a:path w="905561" h="12192">
                            <a:moveTo>
                              <a:pt x="0" y="0"/>
                            </a:moveTo>
                            <a:lnTo>
                              <a:pt x="905561" y="0"/>
                            </a:lnTo>
                            <a:lnTo>
                              <a:pt x="905561"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7" name="Shape 187347"/>
                    <wps:cNvSpPr/>
                    <wps:spPr>
                      <a:xfrm>
                        <a:off x="7828534" y="0"/>
                        <a:ext cx="12192" cy="12192"/>
                      </a:xfrm>
                      <a:custGeom>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7348" name="Shape 187348"/>
                    <wps:cNvSpPr/>
                    <wps:spPr>
                      <a:xfrm>
                        <a:off x="7840726" y="0"/>
                        <a:ext cx="915924" cy="12192"/>
                      </a:xfrm>
                      <a:custGeom>
                        <a:pathLst>
                          <a:path w="915924" h="12192">
                            <a:moveTo>
                              <a:pt x="0" y="0"/>
                            </a:moveTo>
                            <a:lnTo>
                              <a:pt x="915924" y="0"/>
                            </a:lnTo>
                            <a:lnTo>
                              <a:pt x="915924"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tabs>
          <w:tab w:val="center" w:pos="3044"/>
          <w:tab w:val="center" w:pos="4142"/>
          <w:tab w:val="center" w:pos="6066"/>
          <w:tab w:val="center" w:pos="7640"/>
          <w:tab w:val="center" w:pos="9193"/>
          <w:tab w:val="center" w:pos="10638"/>
          <w:tab w:val="right" w:pos="13544"/>
        </w:tabs>
        <w:spacing w:before="0" w:after="0" w:line="259" w:lineRule="auto"/>
        <w:ind w:left="0" w:firstLine="0"/>
        <w:jc w:val="left"/>
      </w:pPr>
      <w:r>
        <w:rPr>
          <w:rFonts w:cs="Calibri" w:hAnsi="Calibri" w:eastAsia="Calibri" w:ascii="Calibri"/>
          <w:b w:val="1"/>
          <w:sz w:val="16"/>
        </w:rPr>
        <w:t xml:space="preserve">Rubrique</w:t>
      </w:r>
      <w:r>
        <w:rPr>
          <w:rFonts w:cs="Calibri" w:hAnsi="Calibri" w:eastAsia="Calibri" w:ascii="Calibri"/>
          <w:b w:val="1"/>
          <w:sz w:val="16"/>
        </w:rPr>
        <w:t xml:space="preserve"> 	</w:t>
      </w:r>
      <w:r>
        <w:rPr>
          <w:rFonts w:cs="Calibri" w:hAnsi="Calibri" w:eastAsia="Calibri" w:ascii="Calibri"/>
          <w:b w:val="1"/>
          <w:sz w:val="16"/>
        </w:rPr>
        <w:t xml:space="preserve">Coût unitaire</w:t>
      </w:r>
      <w:r>
        <w:rPr>
          <w:rFonts w:cs="Calibri" w:hAnsi="Calibri" w:eastAsia="Calibri" w:ascii="Calibri"/>
          <w:b w:val="1"/>
          <w:sz w:val="16"/>
        </w:rPr>
        <w:t xml:space="preserve"> 	</w:t>
      </w:r>
      <w:r>
        <w:rPr>
          <w:rFonts w:cs="Calibri" w:hAnsi="Calibri" w:eastAsia="Calibri" w:ascii="Calibri"/>
          <w:b w:val="1"/>
          <w:sz w:val="16"/>
        </w:rPr>
        <w:t xml:space="preserve">Unités</w:t>
      </w:r>
      <w:r>
        <w:rPr>
          <w:rFonts w:cs="Calibri" w:hAnsi="Calibri" w:eastAsia="Calibri" w:ascii="Calibri"/>
          <w:b w:val="1"/>
          <w:sz w:val="16"/>
        </w:rPr>
        <w:t xml:space="preserve"> 	</w:t>
      </w:r>
      <w:r>
        <w:rPr>
          <w:rFonts w:cs="Calibri" w:hAnsi="Calibri" w:eastAsia="Calibri" w:ascii="Calibri"/>
          <w:b w:val="1"/>
          <w:sz w:val="16"/>
        </w:rPr>
        <w:t xml:space="preserve">2011</w:t>
      </w:r>
      <w:r>
        <w:rPr>
          <w:rFonts w:cs="Calibri" w:hAnsi="Calibri" w:eastAsia="Calibri" w:ascii="Calibri"/>
          <w:b w:val="1"/>
          <w:sz w:val="16"/>
        </w:rPr>
        <w:t xml:space="preserve"> 	</w:t>
      </w:r>
      <w:r>
        <w:rPr>
          <w:rFonts w:cs="Calibri" w:hAnsi="Calibri" w:eastAsia="Calibri" w:ascii="Calibri"/>
          <w:b w:val="1"/>
          <w:sz w:val="16"/>
        </w:rPr>
        <w:t xml:space="preserve">2012</w:t>
      </w:r>
      <w:r>
        <w:rPr>
          <w:rFonts w:cs="Calibri" w:hAnsi="Calibri" w:eastAsia="Calibri" w:ascii="Calibri"/>
          <w:b w:val="1"/>
          <w:sz w:val="16"/>
        </w:rPr>
        <w:t xml:space="preserve"> 	</w:t>
      </w:r>
      <w:r>
        <w:rPr>
          <w:rFonts w:cs="Calibri" w:hAnsi="Calibri" w:eastAsia="Calibri" w:ascii="Calibri"/>
          <w:b w:val="1"/>
          <w:sz w:val="16"/>
        </w:rPr>
        <w:t xml:space="preserve">2013</w:t>
      </w:r>
      <w:r>
        <w:rPr>
          <w:rFonts w:cs="Calibri" w:hAnsi="Calibri" w:eastAsia="Calibri" w:ascii="Calibri"/>
          <w:b w:val="1"/>
          <w:sz w:val="16"/>
        </w:rPr>
        <w:t xml:space="preserve"> 	</w:t>
      </w:r>
      <w:r>
        <w:rPr>
          <w:rFonts w:cs="Calibri" w:hAnsi="Calibri" w:eastAsia="Calibri" w:ascii="Calibri"/>
          <w:b w:val="1"/>
          <w:sz w:val="16"/>
        </w:rPr>
        <w:t xml:space="preserve">2014</w:t>
      </w:r>
      <w:r>
        <w:rPr>
          <w:rFonts w:cs="Calibri" w:hAnsi="Calibri" w:eastAsia="Calibri" w:ascii="Calibri"/>
          <w:b w:val="1"/>
          <w:sz w:val="16"/>
        </w:rPr>
        <w:t xml:space="preserve"> 	</w:t>
      </w:r>
      <w:r>
        <w:rPr>
          <w:rFonts w:cs="Calibri" w:hAnsi="Calibri" w:eastAsia="Calibri" w:ascii="Calibri"/>
          <w:b w:val="1"/>
          <w:sz w:val="16"/>
        </w:rPr>
        <w:t xml:space="preserve">2015</w:t>
      </w:r>
      <w:r>
        <w:rPr>
          <w:rFonts w:cs="Calibri" w:hAnsi="Calibri" w:eastAsia="Calibri" w:ascii="Calibri"/>
          <w:b w:val="1"/>
          <w:sz w:val="16"/>
        </w:rPr>
        <w:t xml:space="preserve"> </w:t>
      </w:r>
      <w:r>
        <w:rPr>
          <w:rFonts w:cs="Calibri" w:hAnsi="Calibri" w:eastAsia="Calibri" w:ascii="Calibri"/>
          <w:b w:val="1"/>
          <w:sz w:val="16"/>
        </w:rPr>
        <w:t xml:space="preserve">Total TRAC Phase</w:t>
      </w:r>
      <w:r>
        <w:rPr>
          <w:rFonts w:cs="Calibri" w:hAnsi="Calibri" w:eastAsia="Calibri" w:ascii="Calibri"/>
          <w:b w:val="1"/>
          <w:sz w:val="16"/>
        </w:rPr>
        <w:t xml:space="preserve"> </w:t>
      </w:r>
    </w:p>
    <w:tbl>
      <w:tblPr>
        <w:tblStyle w:val="TableGrid"/>
        <w:tblW w:w="13790" w:type="dxa"/>
        <w:tblInd w:w="-12" w:type="dxa"/>
        <w:tblCellMar>
          <w:top w:w="15" w:type="dxa"/>
          <w:left w:w="0" w:type="dxa"/>
          <w:bottom w:w="0" w:type="dxa"/>
          <w:right w:w="115" w:type="dxa"/>
        </w:tblCellMar>
      </w:tblPr>
      <w:tblGrid>
        <w:gridCol w:w="2550"/>
        <w:gridCol w:w="1388"/>
        <w:gridCol w:w="1085"/>
        <w:gridCol w:w="1356"/>
        <w:gridCol w:w="1572"/>
        <w:gridCol w:w="1553"/>
        <w:gridCol w:w="1447"/>
        <w:gridCol w:w="1376"/>
        <w:gridCol w:w="1462"/>
      </w:tblGrid>
      <w:tr>
        <w:trPr>
          <w:trHeight w:val="218" w:hRule="atLeast"/>
        </w:trPr>
        <w:tc>
          <w:tcPr>
            <w:tcW w:w="2550" w:type="dxa"/>
            <w:tcBorders>
              <w:top w:val="single" w:sz="8" w:color="000000"/>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Personnel</w:t>
            </w:r>
            <w:r>
              <w:rPr>
                <w:rFonts w:cs="Calibri" w:hAnsi="Calibri" w:eastAsia="Calibri" w:ascii="Calibri"/>
                <w:b w:val="1"/>
                <w:sz w:val="16"/>
              </w:rPr>
              <w:t xml:space="preserve">               </w:t>
            </w:r>
            <w:r>
              <w:rPr>
                <w:rFonts w:cs="Calibri" w:hAnsi="Calibri" w:eastAsia="Calibri" w:ascii="Calibri"/>
                <w:b w:val="1"/>
                <w:sz w:val="16"/>
              </w:rPr>
              <w:t xml:space="preserve">CFA</w:t>
            </w:r>
            <w:r>
              <w:rPr>
                <w:rFonts w:cs="Calibri" w:hAnsi="Calibri" w:eastAsia="Calibri" w:ascii="Calibri"/>
                <w:b w:val="1"/>
                <w:sz w:val="16"/>
              </w:rPr>
              <w:t xml:space="preserve"> </w:t>
            </w:r>
          </w:p>
        </w:tc>
        <w:tc>
          <w:tcPr>
            <w:tcW w:w="1388" w:type="dxa"/>
            <w:tcBorders>
              <w:top w:val="single" w:sz="8" w:color="000000"/>
              <w:left w:val="nil"/>
              <w:bottom w:val="nil"/>
              <w:right w:val="nil"/>
            </w:tcBorders>
            <w:shd w:val="clear" w:fill="ffc000"/>
            <w:vAlign w:val="top"/>
          </w:tcPr>
          <w:p>
            <w:pPr>
              <w:spacing w:before="0" w:after="0" w:line="259" w:lineRule="auto"/>
              <w:ind w:left="71" w:firstLine="0"/>
              <w:jc w:val="left"/>
            </w:pPr>
            <w:r>
              <w:rPr>
                <w:rFonts w:cs="Calibri" w:hAnsi="Calibri" w:eastAsia="Calibri" w:ascii="Calibri"/>
                <w:b w:val="1"/>
                <w:sz w:val="16"/>
              </w:rPr>
              <w:t xml:space="preserve">  </w:t>
            </w:r>
          </w:p>
        </w:tc>
        <w:tc>
          <w:tcPr>
            <w:tcW w:w="1085" w:type="dxa"/>
            <w:tcBorders>
              <w:top w:val="single" w:sz="8" w:color="000000"/>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p>
        </w:tc>
        <w:tc>
          <w:tcPr>
            <w:tcW w:w="1356" w:type="dxa"/>
            <w:tcBorders>
              <w:top w:val="single" w:sz="8" w:color="000000"/>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6 440 000   </w:t>
            </w:r>
            <w:r>
              <w:rPr>
                <w:rFonts w:cs="Calibri" w:hAnsi="Calibri" w:eastAsia="Calibri" w:ascii="Calibri"/>
                <w:b w:val="1"/>
                <w:sz w:val="16"/>
              </w:rPr>
              <w:t xml:space="preserve"> </w:t>
            </w:r>
          </w:p>
        </w:tc>
        <w:tc>
          <w:tcPr>
            <w:tcW w:w="1572" w:type="dxa"/>
            <w:tcBorders>
              <w:top w:val="single" w:sz="8" w:color="000000"/>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40 740 000   </w:t>
            </w:r>
            <w:r>
              <w:rPr>
                <w:rFonts w:cs="Calibri" w:hAnsi="Calibri" w:eastAsia="Calibri" w:ascii="Calibri"/>
                <w:b w:val="1"/>
                <w:sz w:val="16"/>
              </w:rPr>
              <w:t xml:space="preserve"> </w:t>
            </w:r>
          </w:p>
        </w:tc>
        <w:tc>
          <w:tcPr>
            <w:tcW w:w="1553" w:type="dxa"/>
            <w:tcBorders>
              <w:top w:val="single" w:sz="8" w:color="000000"/>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40 740 000   </w:t>
            </w:r>
            <w:r>
              <w:rPr>
                <w:rFonts w:cs="Calibri" w:hAnsi="Calibri" w:eastAsia="Calibri" w:ascii="Calibri"/>
                <w:b w:val="1"/>
                <w:sz w:val="16"/>
              </w:rPr>
              <w:t xml:space="preserve"> </w:t>
            </w:r>
          </w:p>
        </w:tc>
        <w:tc>
          <w:tcPr>
            <w:tcW w:w="1447" w:type="dxa"/>
            <w:tcBorders>
              <w:top w:val="single" w:sz="8" w:color="000000"/>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40 740 000   </w:t>
            </w:r>
            <w:r>
              <w:rPr>
                <w:rFonts w:cs="Calibri" w:hAnsi="Calibri" w:eastAsia="Calibri" w:ascii="Calibri"/>
                <w:b w:val="1"/>
                <w:sz w:val="16"/>
              </w:rPr>
              <w:t xml:space="preserve"> </w:t>
            </w:r>
          </w:p>
        </w:tc>
        <w:tc>
          <w:tcPr>
            <w:tcW w:w="1376" w:type="dxa"/>
            <w:tcBorders>
              <w:top w:val="single" w:sz="8" w:color="000000"/>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40 740 000   </w:t>
            </w:r>
            <w:r>
              <w:rPr>
                <w:rFonts w:cs="Calibri" w:hAnsi="Calibri" w:eastAsia="Calibri" w:ascii="Calibri"/>
                <w:b w:val="1"/>
                <w:sz w:val="16"/>
              </w:rPr>
              <w:t xml:space="preserve"> </w:t>
            </w:r>
          </w:p>
        </w:tc>
        <w:tc>
          <w:tcPr>
            <w:tcW w:w="1462" w:type="dxa"/>
            <w:tcBorders>
              <w:top w:val="single" w:sz="8" w:color="000000"/>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169 400 000   </w:t>
            </w:r>
            <w:r>
              <w:rPr>
                <w:rFonts w:cs="Calibri" w:hAnsi="Calibri" w:eastAsia="Calibri" w:ascii="Calibri"/>
                <w:b w:val="1"/>
                <w:sz w:val="16"/>
              </w:rPr>
              <w:t xml:space="preserve"> </w:t>
            </w:r>
          </w:p>
        </w:tc>
      </w:tr>
      <w:tr>
        <w:trPr>
          <w:trHeight w:val="180" w:hRule="atLeast"/>
        </w:trPr>
        <w:tc>
          <w:tcPr>
            <w:tcW w:w="2550" w:type="dxa"/>
            <w:tcBorders>
              <w:top w:val="nil"/>
              <w:left w:val="nil"/>
              <w:bottom w:val="nil"/>
              <w:right w:val="nil"/>
            </w:tcBorders>
            <w:shd w:val="clear" w:fill="ffc000"/>
            <w:vAlign w:val="top"/>
          </w:tcPr>
          <w:p>
            <w:pPr>
              <w:spacing w:before="0" w:after="0" w:line="259" w:lineRule="auto"/>
              <w:ind w:left="120" w:firstLine="0"/>
              <w:jc w:val="center"/>
            </w:pPr>
            <w:r>
              <w:rPr>
                <w:rFonts w:cs="Calibri" w:hAnsi="Calibri" w:eastAsia="Calibri" w:ascii="Calibri"/>
                <w:b w:val="1"/>
                <w:sz w:val="16"/>
              </w:rPr>
              <w:t xml:space="preserve">USD</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bidi w:val="0"/>
              <w:spacing w:before="0" w:after="160" w:line="259" w:lineRule="auto"/>
              <w:ind w:left="0" w:right="0" w:firstLine="0"/>
              <w:jc w:val="left"/>
            </w:pPr>
          </w:p>
        </w:tc>
        <w:tc>
          <w:tcPr>
            <w:tcW w:w="1085" w:type="dxa"/>
            <w:tcBorders>
              <w:top w:val="nil"/>
              <w:left w:val="nil"/>
              <w:bottom w:val="nil"/>
              <w:right w:val="nil"/>
            </w:tcBorders>
            <w:shd w:val="clear" w:fill="ffc000"/>
            <w:vAlign w:val="top"/>
          </w:tcPr>
          <w:p>
            <w:pPr>
              <w:bidi w:val="0"/>
              <w:spacing w:before="0" w:after="160" w:line="259" w:lineRule="auto"/>
              <w:ind w:left="0" w:right="0" w:firstLine="0"/>
              <w:jc w:val="left"/>
            </w:pPr>
          </w:p>
        </w:tc>
        <w:tc>
          <w:tcPr>
            <w:tcW w:w="1356" w:type="dxa"/>
            <w:tcBorders>
              <w:top w:val="nil"/>
              <w:left w:val="nil"/>
              <w:bottom w:val="nil"/>
              <w:right w:val="nil"/>
            </w:tcBorders>
            <w:shd w:val="clear" w:fill="ffc000"/>
            <w:vAlign w:val="top"/>
          </w:tcPr>
          <w:p>
            <w:pPr>
              <w:spacing w:before="0" w:after="0" w:line="259" w:lineRule="auto"/>
              <w:ind w:left="0" w:right="26" w:firstLine="0"/>
              <w:jc w:val="center"/>
            </w:pPr>
            <w:r>
              <w:rPr>
                <w:rFonts w:cs="Calibri" w:hAnsi="Calibri" w:eastAsia="Calibri" w:ascii="Calibri"/>
                <w:b w:val="1"/>
                <w:sz w:val="16"/>
              </w:rPr>
              <w:t xml:space="preserve">14061</w:t>
            </w:r>
            <w:r>
              <w:rPr>
                <w:rFonts w:cs="Calibri" w:hAnsi="Calibri" w:eastAsia="Calibri" w:ascii="Calibri"/>
                <w:b w:val="1"/>
                <w:sz w:val="16"/>
              </w:rPr>
              <w:t xml:space="preserve"> </w:t>
            </w:r>
          </w:p>
        </w:tc>
        <w:tc>
          <w:tcPr>
            <w:tcW w:w="1572" w:type="dxa"/>
            <w:tcBorders>
              <w:top w:val="nil"/>
              <w:left w:val="nil"/>
              <w:bottom w:val="nil"/>
              <w:right w:val="nil"/>
            </w:tcBorders>
            <w:shd w:val="clear" w:fill="ffc000"/>
            <w:vAlign w:val="top"/>
          </w:tcPr>
          <w:p>
            <w:pPr>
              <w:spacing w:before="0" w:after="0" w:line="259" w:lineRule="auto"/>
              <w:ind w:left="0" w:right="22" w:firstLine="0"/>
              <w:jc w:val="center"/>
            </w:pPr>
            <w:r>
              <w:rPr>
                <w:rFonts w:cs="Calibri" w:hAnsi="Calibri" w:eastAsia="Calibri" w:ascii="Calibri"/>
                <w:b w:val="1"/>
                <w:sz w:val="16"/>
              </w:rPr>
              <w:t xml:space="preserve">88952</w:t>
            </w:r>
            <w:r>
              <w:rPr>
                <w:rFonts w:cs="Calibri" w:hAnsi="Calibri" w:eastAsia="Calibri" w:ascii="Calibri"/>
                <w:b w:val="1"/>
                <w:sz w:val="16"/>
              </w:rPr>
              <w:t xml:space="preserve"> </w:t>
            </w:r>
          </w:p>
        </w:tc>
        <w:tc>
          <w:tcPr>
            <w:tcW w:w="1553" w:type="dxa"/>
            <w:tcBorders>
              <w:top w:val="nil"/>
              <w:left w:val="nil"/>
              <w:bottom w:val="nil"/>
              <w:right w:val="nil"/>
            </w:tcBorders>
            <w:shd w:val="clear" w:fill="ffc000"/>
            <w:vAlign w:val="top"/>
          </w:tcPr>
          <w:p>
            <w:pPr>
              <w:spacing w:before="0" w:after="0" w:line="259" w:lineRule="auto"/>
              <w:ind w:left="0" w:right="21" w:firstLine="0"/>
              <w:jc w:val="center"/>
            </w:pPr>
            <w:r>
              <w:rPr>
                <w:rFonts w:cs="Calibri" w:hAnsi="Calibri" w:eastAsia="Calibri" w:ascii="Calibri"/>
                <w:b w:val="1"/>
                <w:sz w:val="16"/>
              </w:rPr>
              <w:t xml:space="preserve">88952</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right="26" w:firstLine="0"/>
              <w:jc w:val="center"/>
            </w:pPr>
            <w:r>
              <w:rPr>
                <w:rFonts w:cs="Calibri" w:hAnsi="Calibri" w:eastAsia="Calibri" w:ascii="Calibri"/>
                <w:b w:val="1"/>
                <w:sz w:val="16"/>
              </w:rPr>
              <w:t xml:space="preserve">88952</w:t>
            </w:r>
            <w:r>
              <w:rPr>
                <w:rFonts w:cs="Calibri" w:hAnsi="Calibri" w:eastAsia="Calibri" w:ascii="Calibri"/>
                <w:b w:val="1"/>
                <w:sz w:val="16"/>
              </w:rPr>
              <w:t xml:space="preserve"> </w:t>
            </w:r>
          </w:p>
        </w:tc>
        <w:tc>
          <w:tcPr>
            <w:tcW w:w="1376" w:type="dxa"/>
            <w:tcBorders>
              <w:top w:val="nil"/>
              <w:left w:val="nil"/>
              <w:bottom w:val="nil"/>
              <w:right w:val="nil"/>
            </w:tcBorders>
            <w:shd w:val="clear" w:fill="ffc000"/>
            <w:vAlign w:val="top"/>
          </w:tcPr>
          <w:p>
            <w:pPr>
              <w:spacing w:before="0" w:after="0" w:line="259" w:lineRule="auto"/>
              <w:ind w:left="45" w:firstLine="0"/>
              <w:jc w:val="center"/>
            </w:pPr>
            <w:r>
              <w:rPr>
                <w:rFonts w:cs="Calibri" w:hAnsi="Calibri" w:eastAsia="Calibri" w:ascii="Calibri"/>
                <w:b w:val="1"/>
                <w:sz w:val="16"/>
              </w:rPr>
              <w:t xml:space="preserve">88952</w:t>
            </w:r>
            <w:r>
              <w:rPr>
                <w:rFonts w:cs="Calibri" w:hAnsi="Calibri" w:eastAsia="Calibri" w:ascii="Calibri"/>
                <w:b w:val="1"/>
                <w:sz w:val="16"/>
              </w:rPr>
              <w:t xml:space="preserve"> </w:t>
            </w:r>
          </w:p>
        </w:tc>
        <w:tc>
          <w:tcPr>
            <w:tcW w:w="1462" w:type="dxa"/>
            <w:tcBorders>
              <w:top w:val="nil"/>
              <w:left w:val="nil"/>
              <w:bottom w:val="nil"/>
              <w:right w:val="nil"/>
            </w:tcBorders>
            <w:shd w:val="clear" w:fill="ffc000"/>
            <w:vAlign w:val="top"/>
          </w:tcPr>
          <w:p>
            <w:pPr>
              <w:spacing w:before="0" w:after="0" w:line="259" w:lineRule="auto"/>
              <w:ind w:left="118" w:firstLine="0"/>
              <w:jc w:val="center"/>
            </w:pPr>
            <w:r>
              <w:rPr>
                <w:rFonts w:cs="Calibri" w:hAnsi="Calibri" w:eastAsia="Calibri" w:ascii="Calibri"/>
                <w:b w:val="1"/>
                <w:sz w:val="16"/>
              </w:rPr>
              <w:t xml:space="preserve">369869</w:t>
            </w:r>
            <w:r>
              <w:rPr>
                <w:rFonts w:cs="Calibri" w:hAnsi="Calibri" w:eastAsia="Calibri" w:ascii="Calibri"/>
                <w:b w:val="1"/>
                <w:sz w:val="16"/>
              </w:rPr>
              <w:t xml:space="preserve"> </w:t>
            </w:r>
          </w:p>
        </w:tc>
      </w:tr>
      <w:tr>
        <w:trPr>
          <w:trHeight w:val="212"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Coordonnateur</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1 000 000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50 000 000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Expert suivi</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700 000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1 400 000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8 400 000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8 400 000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8 400 000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8 400 000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35 000 000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Gestionnaire</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600 000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1 200 000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7 200 000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7 200 000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7 200 000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7 200 000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30 000 000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Secretaire</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350 000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4 200 000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4 200 000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4 200 000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4 200 000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17 500 000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Chauffeur</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175 000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bidi w:val="0"/>
              <w:spacing w:before="0" w:after="160" w:line="259" w:lineRule="auto"/>
              <w:ind w:left="0" w:right="0" w:firstLine="0"/>
              <w:jc w:val="left"/>
            </w:pP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2 100 000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2 100 000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2 100 000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2 100 000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8 400 000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Gardien et nettoyage</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170 000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340 000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2 040 000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2 040 000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2 040 000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2 040 000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8 500 000   </w:t>
            </w:r>
            <w:r>
              <w:rPr>
                <w:rFonts w:cs="Calibri" w:hAnsi="Calibri" w:eastAsia="Calibri" w:ascii="Calibri"/>
                <w:b w:val="1"/>
                <w:sz w:val="16"/>
              </w:rPr>
              <w:t xml:space="preserve"> </w:t>
            </w:r>
          </w:p>
        </w:tc>
      </w:tr>
      <w:tr>
        <w:trPr>
          <w:trHeight w:val="181"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Location bureau</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400 000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4 800 000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4 800 000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4 800 000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4 800 000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20 000 000   </w:t>
            </w:r>
            <w:r>
              <w:rPr>
                <w:rFonts w:cs="Calibri" w:hAnsi="Calibri" w:eastAsia="Calibri" w:ascii="Calibri"/>
                <w:b w:val="1"/>
                <w:sz w:val="16"/>
              </w:rPr>
              <w:t xml:space="preserve"> </w:t>
            </w:r>
          </w:p>
        </w:tc>
      </w:tr>
      <w:tr>
        <w:trPr>
          <w:trHeight w:val="211" w:hRule="atLeast"/>
        </w:trPr>
        <w:tc>
          <w:tcPr>
            <w:tcW w:w="2550"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Equipement</w:t>
            </w:r>
            <w:r>
              <w:rPr>
                <w:rFonts w:cs="Calibri" w:hAnsi="Calibri" w:eastAsia="Calibri" w:ascii="Calibri"/>
                <w:b w:val="1"/>
                <w:sz w:val="16"/>
              </w:rPr>
              <w:t xml:space="preserve">     </w:t>
            </w:r>
            <w:r>
              <w:rPr>
                <w:rFonts w:cs="Calibri" w:hAnsi="Calibri" w:eastAsia="Calibri" w:ascii="Calibri"/>
                <w:b w:val="1"/>
                <w:sz w:val="16"/>
              </w:rPr>
              <w:t xml:space="preserve">CFA</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spacing w:before="0" w:after="0" w:line="259" w:lineRule="auto"/>
              <w:ind w:left="71" w:firstLine="0"/>
              <w:jc w:val="left"/>
            </w:pPr>
            <w:r>
              <w:rPr>
                <w:rFonts w:cs="Calibri" w:hAnsi="Calibri" w:eastAsia="Calibri" w:ascii="Calibri"/>
                <w:sz w:val="16"/>
              </w:rPr>
              <w:t xml:space="preserve">  </w:t>
            </w:r>
          </w:p>
        </w:tc>
        <w:tc>
          <w:tcPr>
            <w:tcW w:w="1085"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sz w:val="16"/>
              </w:rPr>
              <w:t xml:space="preserve">  </w:t>
            </w:r>
          </w:p>
        </w:tc>
        <w:tc>
          <w:tcPr>
            <w:tcW w:w="135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44 600 000   </w:t>
            </w:r>
            <w:r>
              <w:rPr>
                <w:rFonts w:cs="Calibri" w:hAnsi="Calibri" w:eastAsia="Calibri" w:ascii="Calibri"/>
                <w:b w:val="1"/>
                <w:sz w:val="16"/>
              </w:rPr>
              <w:t xml:space="preserve"> </w:t>
            </w:r>
          </w:p>
        </w:tc>
        <w:tc>
          <w:tcPr>
            <w:tcW w:w="1572"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3 800 000   </w:t>
            </w:r>
            <w:r>
              <w:rPr>
                <w:rFonts w:cs="Calibri" w:hAnsi="Calibri" w:eastAsia="Calibri" w:ascii="Calibri"/>
                <w:b w:val="1"/>
                <w:sz w:val="16"/>
              </w:rPr>
              <w:t xml:space="preserve"> </w:t>
            </w:r>
          </w:p>
        </w:tc>
        <w:tc>
          <w:tcPr>
            <w:tcW w:w="1553"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1 500 000   </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1 500 000   </w:t>
            </w:r>
            <w:r>
              <w:rPr>
                <w:rFonts w:cs="Calibri" w:hAnsi="Calibri" w:eastAsia="Calibri" w:ascii="Calibri"/>
                <w:b w:val="1"/>
                <w:sz w:val="16"/>
              </w:rPr>
              <w:t xml:space="preserve"> </w:t>
            </w:r>
          </w:p>
        </w:tc>
        <w:tc>
          <w:tcPr>
            <w:tcW w:w="137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462"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51 400 000   </w:t>
            </w:r>
            <w:r>
              <w:rPr>
                <w:rFonts w:cs="Calibri" w:hAnsi="Calibri" w:eastAsia="Calibri" w:ascii="Calibri"/>
                <w:b w:val="1"/>
                <w:sz w:val="16"/>
              </w:rPr>
              <w:t xml:space="preserve"> </w:t>
            </w:r>
          </w:p>
        </w:tc>
      </w:tr>
      <w:tr>
        <w:trPr>
          <w:trHeight w:val="180" w:hRule="atLeast"/>
        </w:trPr>
        <w:tc>
          <w:tcPr>
            <w:tcW w:w="2550"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USD</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spacing w:before="0" w:after="0" w:line="259" w:lineRule="auto"/>
              <w:ind w:left="71" w:firstLine="0"/>
              <w:jc w:val="left"/>
            </w:pPr>
            <w:r>
              <w:rPr>
                <w:rFonts w:cs="Calibri" w:hAnsi="Calibri" w:eastAsia="Calibri" w:ascii="Calibri"/>
                <w:sz w:val="16"/>
              </w:rPr>
              <w:t xml:space="preserve">  </w:t>
            </w:r>
          </w:p>
        </w:tc>
        <w:tc>
          <w:tcPr>
            <w:tcW w:w="1085"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sz w:val="16"/>
              </w:rPr>
              <w:t xml:space="preserve">  </w:t>
            </w:r>
          </w:p>
        </w:tc>
        <w:tc>
          <w:tcPr>
            <w:tcW w:w="135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97 380   </w:t>
            </w:r>
            <w:r>
              <w:rPr>
                <w:rFonts w:cs="Calibri" w:hAnsi="Calibri" w:eastAsia="Calibri" w:ascii="Calibri"/>
                <w:b w:val="1"/>
                <w:sz w:val="16"/>
              </w:rPr>
              <w:t xml:space="preserve"> </w:t>
            </w:r>
          </w:p>
        </w:tc>
        <w:tc>
          <w:tcPr>
            <w:tcW w:w="1572"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8 297   </w:t>
            </w:r>
            <w:r>
              <w:rPr>
                <w:rFonts w:cs="Calibri" w:hAnsi="Calibri" w:eastAsia="Calibri" w:ascii="Calibri"/>
                <w:b w:val="1"/>
                <w:sz w:val="16"/>
              </w:rPr>
              <w:t xml:space="preserve"> </w:t>
            </w:r>
          </w:p>
        </w:tc>
        <w:tc>
          <w:tcPr>
            <w:tcW w:w="1553"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3 275   </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3 275   </w:t>
            </w:r>
            <w:r>
              <w:rPr>
                <w:rFonts w:cs="Calibri" w:hAnsi="Calibri" w:eastAsia="Calibri" w:ascii="Calibri"/>
                <w:b w:val="1"/>
                <w:sz w:val="16"/>
              </w:rPr>
              <w:t xml:space="preserve"> </w:t>
            </w:r>
          </w:p>
        </w:tc>
        <w:tc>
          <w:tcPr>
            <w:tcW w:w="137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462"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112 227   </w:t>
            </w:r>
            <w:r>
              <w:rPr>
                <w:rFonts w:cs="Calibri" w:hAnsi="Calibri" w:eastAsia="Calibri" w:ascii="Calibri"/>
                <w:b w:val="1"/>
                <w:sz w:val="16"/>
              </w:rPr>
              <w:t xml:space="preserve"> </w:t>
            </w:r>
          </w:p>
        </w:tc>
      </w:tr>
      <w:tr>
        <w:trPr>
          <w:trHeight w:val="212"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Vehicule 4X4</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18 000 000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18 000 000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Véhicule leger</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10 000 000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10 000 000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Mobilier de bureau</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4 000 000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4 000 000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Ordin bureau</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700 000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5 600 000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5 600 000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Imprimantes</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800 000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Ordinateurs portables</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700 000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1 400 000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1 400 000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Onduleurs</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1 600 000   </w:t>
            </w:r>
            <w:r>
              <w:rPr>
                <w:rFonts w:cs="Calibri" w:hAnsi="Calibri" w:eastAsia="Calibri" w:ascii="Calibri"/>
                <w:sz w:val="16"/>
              </w:rPr>
              <w:t xml:space="preserve"> </w:t>
            </w: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1 600 000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Logiciels </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1 800 000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1 500 000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1 500 000   </w:t>
            </w:r>
            <w:r>
              <w:rPr>
                <w:rFonts w:cs="Calibri" w:hAnsi="Calibri" w:eastAsia="Calibri" w:ascii="Calibri"/>
                <w:sz w:val="16"/>
              </w:rPr>
              <w:t xml:space="preserve"> </w:t>
            </w: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5 000 000   </w:t>
            </w:r>
            <w:r>
              <w:rPr>
                <w:rFonts w:cs="Calibri" w:hAnsi="Calibri" w:eastAsia="Calibri" w:ascii="Calibri"/>
                <w:b w:val="1"/>
                <w:sz w:val="16"/>
              </w:rPr>
              <w:t xml:space="preserve"> </w:t>
            </w:r>
          </w:p>
        </w:tc>
      </w:tr>
      <w:tr>
        <w:trPr>
          <w:trHeight w:val="180"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Installation &amp; amenagement</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3 000 000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5 000 000   </w:t>
            </w:r>
            <w:r>
              <w:rPr>
                <w:rFonts w:cs="Calibri" w:hAnsi="Calibri" w:eastAsia="Calibri" w:ascii="Calibri"/>
                <w:b w:val="1"/>
                <w:sz w:val="16"/>
              </w:rPr>
              <w:t xml:space="preserve"> </w:t>
            </w:r>
          </w:p>
        </w:tc>
      </w:tr>
      <w:tr>
        <w:trPr>
          <w:trHeight w:val="212" w:hRule="atLeast"/>
        </w:trPr>
        <w:tc>
          <w:tcPr>
            <w:tcW w:w="2550"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Fonctionnement</w:t>
            </w:r>
            <w:r>
              <w:rPr>
                <w:rFonts w:cs="Calibri" w:hAnsi="Calibri" w:eastAsia="Calibri" w:ascii="Calibri"/>
                <w:b w:val="1"/>
                <w:sz w:val="16"/>
              </w:rPr>
              <w:t xml:space="preserve">   </w:t>
            </w:r>
            <w:r>
              <w:rPr>
                <w:rFonts w:cs="Calibri" w:hAnsi="Calibri" w:eastAsia="Calibri" w:ascii="Calibri"/>
                <w:b w:val="1"/>
                <w:sz w:val="16"/>
              </w:rPr>
              <w:t xml:space="preserve">CFA</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spacing w:before="0" w:after="0" w:line="259" w:lineRule="auto"/>
              <w:ind w:left="71" w:firstLine="0"/>
              <w:jc w:val="left"/>
            </w:pPr>
            <w:r>
              <w:rPr>
                <w:rFonts w:cs="Calibri" w:hAnsi="Calibri" w:eastAsia="Calibri" w:ascii="Calibri"/>
                <w:sz w:val="16"/>
              </w:rPr>
              <w:t xml:space="preserve">  </w:t>
            </w:r>
          </w:p>
        </w:tc>
        <w:tc>
          <w:tcPr>
            <w:tcW w:w="1085"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sz w:val="16"/>
              </w:rPr>
              <w:t xml:space="preserve">  </w:t>
            </w:r>
          </w:p>
        </w:tc>
        <w:tc>
          <w:tcPr>
            <w:tcW w:w="135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9 090 000   </w:t>
            </w:r>
            <w:r>
              <w:rPr>
                <w:rFonts w:cs="Calibri" w:hAnsi="Calibri" w:eastAsia="Calibri" w:ascii="Calibri"/>
                <w:b w:val="1"/>
                <w:sz w:val="16"/>
              </w:rPr>
              <w:t xml:space="preserve"> </w:t>
            </w:r>
          </w:p>
        </w:tc>
        <w:tc>
          <w:tcPr>
            <w:tcW w:w="1572"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51 190 000   </w:t>
            </w:r>
            <w:r>
              <w:rPr>
                <w:rFonts w:cs="Calibri" w:hAnsi="Calibri" w:eastAsia="Calibri" w:ascii="Calibri"/>
                <w:b w:val="1"/>
                <w:sz w:val="16"/>
              </w:rPr>
              <w:t xml:space="preserve"> </w:t>
            </w:r>
          </w:p>
        </w:tc>
        <w:tc>
          <w:tcPr>
            <w:tcW w:w="1553"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50 190 000   </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49 690 000   </w:t>
            </w:r>
            <w:r>
              <w:rPr>
                <w:rFonts w:cs="Calibri" w:hAnsi="Calibri" w:eastAsia="Calibri" w:ascii="Calibri"/>
                <w:b w:val="1"/>
                <w:sz w:val="16"/>
              </w:rPr>
              <w:t xml:space="preserve"> </w:t>
            </w:r>
          </w:p>
        </w:tc>
        <w:tc>
          <w:tcPr>
            <w:tcW w:w="137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46 690 000   </w:t>
            </w:r>
            <w:r>
              <w:rPr>
                <w:rFonts w:cs="Calibri" w:hAnsi="Calibri" w:eastAsia="Calibri" w:ascii="Calibri"/>
                <w:b w:val="1"/>
                <w:sz w:val="16"/>
              </w:rPr>
              <w:t xml:space="preserve"> </w:t>
            </w:r>
          </w:p>
        </w:tc>
        <w:tc>
          <w:tcPr>
            <w:tcW w:w="1462"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206 850 000   </w:t>
            </w:r>
            <w:r>
              <w:rPr>
                <w:rFonts w:cs="Calibri" w:hAnsi="Calibri" w:eastAsia="Calibri" w:ascii="Calibri"/>
                <w:b w:val="1"/>
                <w:sz w:val="16"/>
              </w:rPr>
              <w:t xml:space="preserve"> </w:t>
            </w:r>
          </w:p>
        </w:tc>
      </w:tr>
      <w:tr>
        <w:trPr>
          <w:trHeight w:val="182" w:hRule="atLeast"/>
        </w:trPr>
        <w:tc>
          <w:tcPr>
            <w:tcW w:w="2550"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USD</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spacing w:before="0" w:after="0" w:line="259" w:lineRule="auto"/>
              <w:ind w:left="71" w:firstLine="0"/>
              <w:jc w:val="left"/>
            </w:pPr>
            <w:r>
              <w:rPr>
                <w:rFonts w:cs="Calibri" w:hAnsi="Calibri" w:eastAsia="Calibri" w:ascii="Calibri"/>
                <w:sz w:val="16"/>
              </w:rPr>
              <w:t xml:space="preserve">  </w:t>
            </w:r>
          </w:p>
        </w:tc>
        <w:tc>
          <w:tcPr>
            <w:tcW w:w="1085"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sz w:val="16"/>
              </w:rPr>
              <w:t xml:space="preserve">  </w:t>
            </w:r>
          </w:p>
        </w:tc>
        <w:tc>
          <w:tcPr>
            <w:tcW w:w="135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19 847   </w:t>
            </w:r>
            <w:r>
              <w:rPr>
                <w:rFonts w:cs="Calibri" w:hAnsi="Calibri" w:eastAsia="Calibri" w:ascii="Calibri"/>
                <w:b w:val="1"/>
                <w:sz w:val="16"/>
              </w:rPr>
              <w:t xml:space="preserve"> </w:t>
            </w:r>
          </w:p>
        </w:tc>
        <w:tc>
          <w:tcPr>
            <w:tcW w:w="1572"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111 769   </w:t>
            </w:r>
            <w:r>
              <w:rPr>
                <w:rFonts w:cs="Calibri" w:hAnsi="Calibri" w:eastAsia="Calibri" w:ascii="Calibri"/>
                <w:b w:val="1"/>
                <w:sz w:val="16"/>
              </w:rPr>
              <w:t xml:space="preserve"> </w:t>
            </w:r>
          </w:p>
        </w:tc>
        <w:tc>
          <w:tcPr>
            <w:tcW w:w="1553"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109 585   </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108 493   </w:t>
            </w:r>
            <w:r>
              <w:rPr>
                <w:rFonts w:cs="Calibri" w:hAnsi="Calibri" w:eastAsia="Calibri" w:ascii="Calibri"/>
                <w:b w:val="1"/>
                <w:sz w:val="16"/>
              </w:rPr>
              <w:t xml:space="preserve"> </w:t>
            </w:r>
          </w:p>
        </w:tc>
        <w:tc>
          <w:tcPr>
            <w:tcW w:w="137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101 943   </w:t>
            </w:r>
            <w:r>
              <w:rPr>
                <w:rFonts w:cs="Calibri" w:hAnsi="Calibri" w:eastAsia="Calibri" w:ascii="Calibri"/>
                <w:b w:val="1"/>
                <w:sz w:val="16"/>
              </w:rPr>
              <w:t xml:space="preserve"> </w:t>
            </w:r>
          </w:p>
        </w:tc>
        <w:tc>
          <w:tcPr>
            <w:tcW w:w="1462"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451 638   </w:t>
            </w:r>
            <w:r>
              <w:rPr>
                <w:rFonts w:cs="Calibri" w:hAnsi="Calibri" w:eastAsia="Calibri" w:ascii="Calibri"/>
                <w:b w:val="1"/>
                <w:sz w:val="16"/>
              </w:rPr>
              <w:t xml:space="preserve"> </w:t>
            </w:r>
          </w:p>
        </w:tc>
      </w:tr>
      <w:tr>
        <w:trPr>
          <w:trHeight w:val="211"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Fourniture de bureau</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500 000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1 000 000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6 000 000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6 000 000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25 000 000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Telephone</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10 000 000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Electricité</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10 000 000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Eau</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40 000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240 000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240 000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240 000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240 000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Entretien des machines</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2 400 000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9 800 000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Entretien des véhicules</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150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KM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7 500 000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7 500 000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7 500 000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7 500 000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30 300 000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Carburant et lubrifiants </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125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KM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250 000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6 250 000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6 250 000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6 250 000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6 250 000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25 250 000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Frais admin et divers</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1 000 000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an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Comités de pilotage</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2 500 000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Sessions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2 500 000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5 000 000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5 000 000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22 500 000   </w:t>
            </w:r>
            <w:r>
              <w:rPr>
                <w:rFonts w:cs="Calibri" w:hAnsi="Calibri" w:eastAsia="Calibri" w:ascii="Calibri"/>
                <w:b w:val="1"/>
                <w:sz w:val="16"/>
              </w:rPr>
              <w:t xml:space="preserve"> </w:t>
            </w:r>
          </w:p>
        </w:tc>
      </w:tr>
      <w:tr>
        <w:trPr>
          <w:trHeight w:val="197"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Frais de mission</w:t>
            </w:r>
            <w:r>
              <w:rPr>
                <w:rFonts w:cs="Calibri" w:hAnsi="Calibri" w:eastAsia="Calibri" w:ascii="Calibri"/>
                <w:sz w:val="16"/>
              </w:rPr>
              <w:t xml:space="preserve"> </w:t>
            </w:r>
          </w:p>
        </w:tc>
        <w:tc>
          <w:tcPr>
            <w:tcW w:w="1388" w:type="dxa"/>
            <w:tcBorders>
              <w:top w:val="nil"/>
              <w:left w:val="nil"/>
              <w:bottom w:val="nil"/>
              <w:right w:val="nil"/>
            </w:tcBorders>
            <w:vAlign w:val="top"/>
          </w:tcPr>
          <w:p>
            <w:pPr>
              <w:spacing w:before="0" w:after="0" w:line="259" w:lineRule="auto"/>
              <w:ind w:left="71" w:firstLine="0"/>
              <w:jc w:val="left"/>
            </w:pPr>
            <w:r>
              <w:rPr>
                <w:rFonts w:cs="Calibri" w:hAnsi="Calibri" w:eastAsia="Calibri" w:ascii="Calibri"/>
                <w:sz w:val="16"/>
              </w:rPr>
              <w:t xml:space="preserve">        </w:t>
            </w:r>
            <w:r>
              <w:rPr>
                <w:rFonts w:cs="Calibri" w:hAnsi="Calibri" w:eastAsia="Calibri" w:ascii="Calibri"/>
                <w:sz w:val="16"/>
              </w:rPr>
              <w:t xml:space="preserve">1 000 000   </w:t>
            </w:r>
            <w:r>
              <w:rPr>
                <w:rFonts w:cs="Calibri" w:hAnsi="Calibri" w:eastAsia="Calibri" w:ascii="Calibri"/>
                <w:sz w:val="16"/>
              </w:rPr>
              <w:t xml:space="preserve"> </w:t>
            </w:r>
          </w:p>
        </w:tc>
        <w:tc>
          <w:tcPr>
            <w:tcW w:w="1085"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Mois </w:t>
            </w:r>
            <w:r>
              <w:rPr>
                <w:rFonts w:cs="Calibri" w:hAnsi="Calibri" w:eastAsia="Calibri" w:ascii="Calibri"/>
                <w:sz w:val="16"/>
              </w:rPr>
              <w:t xml:space="preserve"> </w:t>
            </w:r>
          </w:p>
        </w:tc>
        <w:tc>
          <w:tcPr>
            <w:tcW w:w="135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12 000 000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50 000 000   </w:t>
            </w:r>
            <w:r>
              <w:rPr>
                <w:rFonts w:cs="Calibri" w:hAnsi="Calibri" w:eastAsia="Calibri" w:ascii="Calibri"/>
                <w:b w:val="1"/>
                <w:sz w:val="16"/>
              </w:rPr>
              <w:t xml:space="preserve"> </w:t>
            </w:r>
          </w:p>
        </w:tc>
      </w:tr>
      <w:tr>
        <w:trPr>
          <w:trHeight w:val="196"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Communication</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bidi w:val="0"/>
              <w:spacing w:before="0" w:after="160" w:line="259" w:lineRule="auto"/>
              <w:ind w:left="0" w:right="0" w:firstLine="0"/>
              <w:jc w:val="left"/>
            </w:pP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2 000 000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9 000 000   </w:t>
            </w:r>
            <w:r>
              <w:rPr>
                <w:rFonts w:cs="Calibri" w:hAnsi="Calibri" w:eastAsia="Calibri" w:ascii="Calibri"/>
                <w:b w:val="1"/>
                <w:sz w:val="16"/>
              </w:rPr>
              <w:t xml:space="preserve"> </w:t>
            </w:r>
          </w:p>
        </w:tc>
      </w:tr>
      <w:tr>
        <w:trPr>
          <w:trHeight w:val="182"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Formation du personnel</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bidi w:val="0"/>
              <w:spacing w:before="0" w:after="160" w:line="259" w:lineRule="auto"/>
              <w:ind w:left="0" w:right="0" w:firstLine="0"/>
              <w:jc w:val="left"/>
            </w:pPr>
          </w:p>
        </w:tc>
        <w:tc>
          <w:tcPr>
            <w:tcW w:w="1572"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3 000 000   </w:t>
            </w:r>
            <w:r>
              <w:rPr>
                <w:rFonts w:cs="Calibri" w:hAnsi="Calibri" w:eastAsia="Calibri" w:ascii="Calibri"/>
                <w:sz w:val="16"/>
              </w:rPr>
              <w:t xml:space="preserve"> </w:t>
            </w: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3 000 000   </w:t>
            </w:r>
            <w:r>
              <w:rPr>
                <w:rFonts w:cs="Calibri" w:hAnsi="Calibri" w:eastAsia="Calibri" w:ascii="Calibri"/>
                <w:sz w:val="16"/>
              </w:rPr>
              <w:t xml:space="preserve"> </w:t>
            </w:r>
          </w:p>
        </w:tc>
        <w:tc>
          <w:tcPr>
            <w:tcW w:w="1447"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3 000 000   </w:t>
            </w:r>
            <w:r>
              <w:rPr>
                <w:rFonts w:cs="Calibri" w:hAnsi="Calibri" w:eastAsia="Calibri" w:ascii="Calibri"/>
                <w:sz w:val="16"/>
              </w:rPr>
              <w:t xml:space="preserve"> </w:t>
            </w:r>
          </w:p>
        </w:tc>
        <w:tc>
          <w:tcPr>
            <w:tcW w:w="1376" w:type="dxa"/>
            <w:tcBorders>
              <w:top w:val="nil"/>
              <w:left w:val="nil"/>
              <w:bottom w:val="nil"/>
              <w:right w:val="nil"/>
            </w:tcBorders>
            <w:vAlign w:val="top"/>
          </w:tcPr>
          <w:p>
            <w:pPr>
              <w:bidi w:val="0"/>
              <w:spacing w:before="0" w:after="160" w:line="259" w:lineRule="auto"/>
              <w:ind w:left="0" w:right="0" w:firstLine="0"/>
              <w:jc w:val="left"/>
            </w:pP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9 000 000   </w:t>
            </w:r>
            <w:r>
              <w:rPr>
                <w:rFonts w:cs="Calibri" w:hAnsi="Calibri" w:eastAsia="Calibri" w:ascii="Calibri"/>
                <w:b w:val="1"/>
                <w:sz w:val="16"/>
              </w:rPr>
              <w:t xml:space="preserve"> </w:t>
            </w:r>
          </w:p>
        </w:tc>
      </w:tr>
      <w:tr>
        <w:trPr>
          <w:trHeight w:val="211" w:hRule="atLeast"/>
        </w:trPr>
        <w:tc>
          <w:tcPr>
            <w:tcW w:w="2550"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Audits et evaluation</w:t>
            </w:r>
            <w:r>
              <w:rPr>
                <w:rFonts w:cs="Calibri" w:hAnsi="Calibri" w:eastAsia="Calibri" w:ascii="Calibri"/>
                <w:b w:val="1"/>
                <w:sz w:val="16"/>
              </w:rPr>
              <w:t xml:space="preserve">    </w:t>
            </w:r>
            <w:r>
              <w:rPr>
                <w:rFonts w:cs="Calibri" w:hAnsi="Calibri" w:eastAsia="Calibri" w:ascii="Calibri"/>
                <w:b w:val="1"/>
                <w:sz w:val="16"/>
              </w:rPr>
              <w:t xml:space="preserve">CFA</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spacing w:before="0" w:after="0" w:line="259" w:lineRule="auto"/>
              <w:ind w:left="71" w:firstLine="0"/>
              <w:jc w:val="left"/>
            </w:pPr>
            <w:r>
              <w:rPr>
                <w:rFonts w:cs="Calibri" w:hAnsi="Calibri" w:eastAsia="Calibri" w:ascii="Calibri"/>
                <w:sz w:val="16"/>
              </w:rPr>
              <w:t xml:space="preserve">  </w:t>
            </w:r>
          </w:p>
        </w:tc>
        <w:tc>
          <w:tcPr>
            <w:tcW w:w="1085"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sz w:val="16"/>
              </w:rPr>
              <w:t xml:space="preserve">  </w:t>
            </w:r>
          </w:p>
        </w:tc>
        <w:tc>
          <w:tcPr>
            <w:tcW w:w="135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572"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553"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1 500 000   </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37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9 500 000   </w:t>
            </w:r>
            <w:r>
              <w:rPr>
                <w:rFonts w:cs="Calibri" w:hAnsi="Calibri" w:eastAsia="Calibri" w:ascii="Calibri"/>
                <w:b w:val="1"/>
                <w:sz w:val="16"/>
              </w:rPr>
              <w:t xml:space="preserve"> </w:t>
            </w:r>
          </w:p>
        </w:tc>
        <w:tc>
          <w:tcPr>
            <w:tcW w:w="1462"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9 500 000   </w:t>
            </w:r>
            <w:r>
              <w:rPr>
                <w:rFonts w:cs="Calibri" w:hAnsi="Calibri" w:eastAsia="Calibri" w:ascii="Calibri"/>
                <w:b w:val="1"/>
                <w:sz w:val="16"/>
              </w:rPr>
              <w:t xml:space="preserve"> </w:t>
            </w:r>
          </w:p>
        </w:tc>
      </w:tr>
      <w:tr>
        <w:trPr>
          <w:trHeight w:val="180" w:hRule="atLeast"/>
        </w:trPr>
        <w:tc>
          <w:tcPr>
            <w:tcW w:w="2550"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USD</w:t>
            </w:r>
            <w:r>
              <w:rPr>
                <w:rFonts w:cs="Calibri" w:hAnsi="Calibri" w:eastAsia="Calibri" w:ascii="Calibri"/>
                <w:b w:val="1"/>
                <w:sz w:val="16"/>
              </w:rPr>
              <w:t xml:space="preserve"> </w:t>
            </w:r>
          </w:p>
        </w:tc>
        <w:tc>
          <w:tcPr>
            <w:tcW w:w="1388" w:type="dxa"/>
            <w:tcBorders>
              <w:top w:val="nil"/>
              <w:left w:val="nil"/>
              <w:bottom w:val="nil"/>
              <w:right w:val="nil"/>
            </w:tcBorders>
            <w:shd w:val="clear" w:fill="ffc000"/>
            <w:vAlign w:val="top"/>
          </w:tcPr>
          <w:p>
            <w:pPr>
              <w:spacing w:before="0" w:after="0" w:line="259" w:lineRule="auto"/>
              <w:ind w:left="71" w:firstLine="0"/>
              <w:jc w:val="left"/>
            </w:pPr>
            <w:r>
              <w:rPr>
                <w:rFonts w:cs="Calibri" w:hAnsi="Calibri" w:eastAsia="Calibri" w:ascii="Calibri"/>
                <w:sz w:val="16"/>
              </w:rPr>
              <w:t xml:space="preserve">  </w:t>
            </w:r>
          </w:p>
        </w:tc>
        <w:tc>
          <w:tcPr>
            <w:tcW w:w="1085"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sz w:val="16"/>
              </w:rPr>
              <w:t xml:space="preserve">  </w:t>
            </w:r>
          </w:p>
        </w:tc>
        <w:tc>
          <w:tcPr>
            <w:tcW w:w="135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572"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553"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3 275   </w:t>
            </w:r>
            <w:r>
              <w:rPr>
                <w:rFonts w:cs="Calibri" w:hAnsi="Calibri" w:eastAsia="Calibri" w:ascii="Calibri"/>
                <w:b w:val="1"/>
                <w:sz w:val="16"/>
              </w:rPr>
              <w:t xml:space="preserve"> </w:t>
            </w:r>
          </w:p>
        </w:tc>
        <w:tc>
          <w:tcPr>
            <w:tcW w:w="1447"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      </w:t>
            </w:r>
          </w:p>
        </w:tc>
        <w:tc>
          <w:tcPr>
            <w:tcW w:w="1376" w:type="dxa"/>
            <w:tcBorders>
              <w:top w:val="nil"/>
              <w:left w:val="nil"/>
              <w:bottom w:val="nil"/>
              <w:right w:val="nil"/>
            </w:tcBorders>
            <w:shd w:val="clear" w:fill="ffc000"/>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20 742   </w:t>
            </w:r>
            <w:r>
              <w:rPr>
                <w:rFonts w:cs="Calibri" w:hAnsi="Calibri" w:eastAsia="Calibri" w:ascii="Calibri"/>
                <w:b w:val="1"/>
                <w:sz w:val="16"/>
              </w:rPr>
              <w:t xml:space="preserve"> </w:t>
            </w:r>
          </w:p>
        </w:tc>
        <w:tc>
          <w:tcPr>
            <w:tcW w:w="1462" w:type="dxa"/>
            <w:tcBorders>
              <w:top w:val="nil"/>
              <w:left w:val="nil"/>
              <w:bottom w:val="nil"/>
              <w:right w:val="nil"/>
            </w:tcBorders>
            <w:shd w:val="clear" w:fill="ffc000"/>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24 017   </w:t>
            </w:r>
            <w:r>
              <w:rPr>
                <w:rFonts w:cs="Calibri" w:hAnsi="Calibri" w:eastAsia="Calibri" w:ascii="Calibri"/>
                <w:b w:val="1"/>
                <w:sz w:val="16"/>
              </w:rPr>
              <w:t xml:space="preserve"> </w:t>
            </w:r>
          </w:p>
        </w:tc>
      </w:tr>
      <w:tr>
        <w:trPr>
          <w:trHeight w:val="211"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Audits</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bidi w:val="0"/>
              <w:spacing w:before="0" w:after="160" w:line="259" w:lineRule="auto"/>
              <w:ind w:left="0" w:right="0" w:firstLine="0"/>
              <w:jc w:val="left"/>
            </w:pP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1 500 000   </w:t>
            </w:r>
            <w:r>
              <w:rPr>
                <w:rFonts w:cs="Calibri" w:hAnsi="Calibri" w:eastAsia="Calibri" w:ascii="Calibri"/>
                <w:sz w:val="16"/>
              </w:rPr>
              <w:t xml:space="preserve"> </w:t>
            </w: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1 500 000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1 500 000   </w:t>
            </w:r>
            <w:r>
              <w:rPr>
                <w:rFonts w:cs="Calibri" w:hAnsi="Calibri" w:eastAsia="Calibri" w:ascii="Calibri"/>
                <w:b w:val="1"/>
                <w:sz w:val="16"/>
              </w:rPr>
              <w:t xml:space="preserve"> </w:t>
            </w:r>
          </w:p>
        </w:tc>
      </w:tr>
      <w:tr>
        <w:trPr>
          <w:trHeight w:val="180" w:hRule="atLeast"/>
        </w:trPr>
        <w:tc>
          <w:tcPr>
            <w:tcW w:w="2550" w:type="dxa"/>
            <w:tcBorders>
              <w:top w:val="nil"/>
              <w:left w:val="nil"/>
              <w:bottom w:val="nil"/>
              <w:right w:val="nil"/>
            </w:tcBorders>
            <w:vAlign w:val="top"/>
          </w:tcPr>
          <w:p>
            <w:pPr>
              <w:spacing w:before="0" w:after="0" w:line="259" w:lineRule="auto"/>
              <w:ind w:left="70" w:firstLine="0"/>
              <w:jc w:val="left"/>
            </w:pPr>
            <w:r>
              <w:rPr>
                <w:rFonts w:cs="Calibri" w:hAnsi="Calibri" w:eastAsia="Calibri" w:ascii="Calibri"/>
                <w:sz w:val="16"/>
              </w:rPr>
              <w:t xml:space="preserve">Evaluation externe</w:t>
            </w:r>
            <w:r>
              <w:rPr>
                <w:rFonts w:cs="Calibri" w:hAnsi="Calibri" w:eastAsia="Calibri" w:ascii="Calibri"/>
                <w:sz w:val="16"/>
              </w:rPr>
              <w:t xml:space="preserve"> </w:t>
            </w:r>
          </w:p>
        </w:tc>
        <w:tc>
          <w:tcPr>
            <w:tcW w:w="1388" w:type="dxa"/>
            <w:tcBorders>
              <w:top w:val="nil"/>
              <w:left w:val="nil"/>
              <w:bottom w:val="nil"/>
              <w:right w:val="nil"/>
            </w:tcBorders>
            <w:vAlign w:val="top"/>
          </w:tcPr>
          <w:p>
            <w:pPr>
              <w:bidi w:val="0"/>
              <w:spacing w:before="0" w:after="160" w:line="259" w:lineRule="auto"/>
              <w:ind w:left="0" w:right="0" w:firstLine="0"/>
              <w:jc w:val="left"/>
            </w:pPr>
          </w:p>
        </w:tc>
        <w:tc>
          <w:tcPr>
            <w:tcW w:w="1085" w:type="dxa"/>
            <w:tcBorders>
              <w:top w:val="nil"/>
              <w:left w:val="nil"/>
              <w:bottom w:val="nil"/>
              <w:right w:val="nil"/>
            </w:tcBorders>
            <w:vAlign w:val="top"/>
          </w:tcPr>
          <w:p>
            <w:pPr>
              <w:bidi w:val="0"/>
              <w:spacing w:before="0" w:after="160" w:line="259" w:lineRule="auto"/>
              <w:ind w:left="0" w:right="0" w:firstLine="0"/>
              <w:jc w:val="left"/>
            </w:pPr>
          </w:p>
        </w:tc>
        <w:tc>
          <w:tcPr>
            <w:tcW w:w="1356" w:type="dxa"/>
            <w:tcBorders>
              <w:top w:val="nil"/>
              <w:left w:val="nil"/>
              <w:bottom w:val="nil"/>
              <w:right w:val="nil"/>
            </w:tcBorders>
            <w:vAlign w:val="top"/>
          </w:tcPr>
          <w:p>
            <w:pPr>
              <w:bidi w:val="0"/>
              <w:spacing w:before="0" w:after="160" w:line="259" w:lineRule="auto"/>
              <w:ind w:left="0" w:right="0" w:firstLine="0"/>
              <w:jc w:val="left"/>
            </w:pPr>
          </w:p>
        </w:tc>
        <w:tc>
          <w:tcPr>
            <w:tcW w:w="1572" w:type="dxa"/>
            <w:tcBorders>
              <w:top w:val="nil"/>
              <w:left w:val="nil"/>
              <w:bottom w:val="nil"/>
              <w:right w:val="nil"/>
            </w:tcBorders>
            <w:vAlign w:val="top"/>
          </w:tcPr>
          <w:p>
            <w:pPr>
              <w:bidi w:val="0"/>
              <w:spacing w:before="0" w:after="160" w:line="259" w:lineRule="auto"/>
              <w:ind w:left="0" w:right="0" w:firstLine="0"/>
              <w:jc w:val="left"/>
            </w:pPr>
          </w:p>
        </w:tc>
        <w:tc>
          <w:tcPr>
            <w:tcW w:w="1553" w:type="dxa"/>
            <w:tcBorders>
              <w:top w:val="nil"/>
              <w:left w:val="nil"/>
              <w:bottom w:val="nil"/>
              <w:right w:val="nil"/>
            </w:tcBorders>
            <w:vAlign w:val="top"/>
          </w:tcPr>
          <w:p>
            <w:pPr>
              <w:bidi w:val="0"/>
              <w:spacing w:before="0" w:after="160" w:line="259" w:lineRule="auto"/>
              <w:ind w:left="0" w:right="0" w:firstLine="0"/>
              <w:jc w:val="left"/>
            </w:pPr>
          </w:p>
        </w:tc>
        <w:tc>
          <w:tcPr>
            <w:tcW w:w="1447" w:type="dxa"/>
            <w:tcBorders>
              <w:top w:val="nil"/>
              <w:left w:val="nil"/>
              <w:bottom w:val="nil"/>
              <w:right w:val="nil"/>
            </w:tcBorders>
            <w:vAlign w:val="top"/>
          </w:tcPr>
          <w:p>
            <w:pPr>
              <w:bidi w:val="0"/>
              <w:spacing w:before="0" w:after="160" w:line="259" w:lineRule="auto"/>
              <w:ind w:left="0" w:right="0" w:firstLine="0"/>
              <w:jc w:val="left"/>
            </w:pPr>
          </w:p>
        </w:tc>
        <w:tc>
          <w:tcPr>
            <w:tcW w:w="1376" w:type="dxa"/>
            <w:tcBorders>
              <w:top w:val="nil"/>
              <w:left w:val="nil"/>
              <w:bottom w:val="nil"/>
              <w:right w:val="nil"/>
            </w:tcBorders>
            <w:vAlign w:val="top"/>
          </w:tcPr>
          <w:p>
            <w:pPr>
              <w:spacing w:before="0" w:after="0" w:line="259" w:lineRule="auto"/>
              <w:ind w:left="0" w:firstLine="0"/>
              <w:jc w:val="left"/>
            </w:pPr>
            <w:r>
              <w:rPr>
                <w:rFonts w:cs="Calibri" w:hAnsi="Calibri" w:eastAsia="Calibri" w:ascii="Calibri"/>
                <w:sz w:val="16"/>
              </w:rPr>
              <w:t xml:space="preserve">            </w:t>
            </w:r>
            <w:r>
              <w:rPr>
                <w:rFonts w:cs="Calibri" w:hAnsi="Calibri" w:eastAsia="Calibri" w:ascii="Calibri"/>
                <w:sz w:val="16"/>
              </w:rPr>
              <w:t xml:space="preserve">8 000 000   </w:t>
            </w:r>
            <w:r>
              <w:rPr>
                <w:rFonts w:cs="Calibri" w:hAnsi="Calibri" w:eastAsia="Calibri" w:ascii="Calibri"/>
                <w:sz w:val="16"/>
              </w:rPr>
              <w:t xml:space="preserve"> </w:t>
            </w:r>
          </w:p>
        </w:tc>
        <w:tc>
          <w:tcPr>
            <w:tcW w:w="1462" w:type="dxa"/>
            <w:tcBorders>
              <w:top w:val="nil"/>
              <w:left w:val="nil"/>
              <w:bottom w:val="nil"/>
              <w:right w:val="nil"/>
            </w:tcBorders>
            <w:shd w:val="clear" w:fill="f2dddc"/>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8 000 000   </w:t>
            </w:r>
            <w:r>
              <w:rPr>
                <w:rFonts w:cs="Calibri" w:hAnsi="Calibri" w:eastAsia="Calibri" w:ascii="Calibri"/>
                <w:b w:val="1"/>
                <w:sz w:val="16"/>
              </w:rPr>
              <w:t xml:space="preserve"> </w:t>
            </w:r>
          </w:p>
        </w:tc>
      </w:tr>
      <w:tr>
        <w:trPr>
          <w:trHeight w:val="212" w:hRule="atLeast"/>
        </w:trPr>
        <w:tc>
          <w:tcPr>
            <w:tcW w:w="2550" w:type="dxa"/>
            <w:tcBorders>
              <w:top w:val="nil"/>
              <w:left w:val="nil"/>
              <w:bottom w:val="nil"/>
              <w:right w:val="nil"/>
            </w:tcBorders>
            <w:shd w:val="clear" w:fill="e46d0a"/>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TOTAL </w:t>
            </w:r>
            <w:r>
              <w:rPr>
                <w:rFonts w:cs="Calibri" w:hAnsi="Calibri" w:eastAsia="Calibri" w:ascii="Calibri"/>
                <w:b w:val="1"/>
                <w:sz w:val="16"/>
              </w:rPr>
              <w:t xml:space="preserve">  </w:t>
            </w:r>
            <w:r>
              <w:rPr>
                <w:rFonts w:cs="Calibri" w:hAnsi="Calibri" w:eastAsia="Calibri" w:ascii="Calibri"/>
                <w:b w:val="1"/>
                <w:sz w:val="16"/>
              </w:rPr>
              <w:t xml:space="preserve">CFA </w:t>
            </w:r>
            <w:r>
              <w:rPr>
                <w:rFonts w:cs="Calibri" w:hAnsi="Calibri" w:eastAsia="Calibri" w:ascii="Calibri"/>
                <w:b w:val="1"/>
                <w:sz w:val="16"/>
              </w:rPr>
              <w:t xml:space="preserve"> </w:t>
            </w:r>
          </w:p>
        </w:tc>
        <w:tc>
          <w:tcPr>
            <w:tcW w:w="1388" w:type="dxa"/>
            <w:tcBorders>
              <w:top w:val="nil"/>
              <w:left w:val="nil"/>
              <w:bottom w:val="nil"/>
              <w:right w:val="nil"/>
            </w:tcBorders>
            <w:shd w:val="clear" w:fill="e46d0a"/>
            <w:vAlign w:val="top"/>
          </w:tcPr>
          <w:p>
            <w:pPr>
              <w:spacing w:before="0" w:after="0" w:line="259" w:lineRule="auto"/>
              <w:ind w:left="71" w:firstLine="0"/>
              <w:jc w:val="left"/>
            </w:pPr>
            <w:r>
              <w:rPr>
                <w:rFonts w:cs="Calibri" w:hAnsi="Calibri" w:eastAsia="Calibri" w:ascii="Calibri"/>
                <w:b w:val="1"/>
                <w:sz w:val="16"/>
              </w:rPr>
              <w:t xml:space="preserve">  </w:t>
            </w:r>
          </w:p>
        </w:tc>
        <w:tc>
          <w:tcPr>
            <w:tcW w:w="1085"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p>
        </w:tc>
        <w:tc>
          <w:tcPr>
            <w:tcW w:w="1356"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60 130 000   </w:t>
            </w:r>
            <w:r>
              <w:rPr>
                <w:rFonts w:cs="Calibri" w:hAnsi="Calibri" w:eastAsia="Calibri" w:ascii="Calibri"/>
                <w:b w:val="1"/>
                <w:sz w:val="16"/>
              </w:rPr>
              <w:t xml:space="preserve"> </w:t>
            </w:r>
          </w:p>
        </w:tc>
        <w:tc>
          <w:tcPr>
            <w:tcW w:w="1572"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95 730 000   </w:t>
            </w:r>
            <w:r>
              <w:rPr>
                <w:rFonts w:cs="Calibri" w:hAnsi="Calibri" w:eastAsia="Calibri" w:ascii="Calibri"/>
                <w:b w:val="1"/>
                <w:sz w:val="16"/>
              </w:rPr>
              <w:t xml:space="preserve"> </w:t>
            </w:r>
          </w:p>
        </w:tc>
        <w:tc>
          <w:tcPr>
            <w:tcW w:w="1553"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93 930 000   </w:t>
            </w:r>
            <w:r>
              <w:rPr>
                <w:rFonts w:cs="Calibri" w:hAnsi="Calibri" w:eastAsia="Calibri" w:ascii="Calibri"/>
                <w:b w:val="1"/>
                <w:sz w:val="16"/>
              </w:rPr>
              <w:t xml:space="preserve"> </w:t>
            </w:r>
          </w:p>
        </w:tc>
        <w:tc>
          <w:tcPr>
            <w:tcW w:w="1447"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91 930 000   </w:t>
            </w:r>
            <w:r>
              <w:rPr>
                <w:rFonts w:cs="Calibri" w:hAnsi="Calibri" w:eastAsia="Calibri" w:ascii="Calibri"/>
                <w:b w:val="1"/>
                <w:sz w:val="16"/>
              </w:rPr>
              <w:t xml:space="preserve"> </w:t>
            </w:r>
          </w:p>
        </w:tc>
        <w:tc>
          <w:tcPr>
            <w:tcW w:w="1376"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96 930 000   </w:t>
            </w:r>
            <w:r>
              <w:rPr>
                <w:rFonts w:cs="Calibri" w:hAnsi="Calibri" w:eastAsia="Calibri" w:ascii="Calibri"/>
                <w:b w:val="1"/>
                <w:sz w:val="16"/>
              </w:rPr>
              <w:t xml:space="preserve"> </w:t>
            </w:r>
          </w:p>
        </w:tc>
        <w:tc>
          <w:tcPr>
            <w:tcW w:w="1462" w:type="dxa"/>
            <w:tcBorders>
              <w:top w:val="nil"/>
              <w:left w:val="nil"/>
              <w:bottom w:val="nil"/>
              <w:right w:val="nil"/>
            </w:tcBorders>
            <w:shd w:val="clear" w:fill="e46d0a"/>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437 150 000   </w:t>
            </w:r>
            <w:r>
              <w:rPr>
                <w:rFonts w:cs="Calibri" w:hAnsi="Calibri" w:eastAsia="Calibri" w:ascii="Calibri"/>
                <w:b w:val="1"/>
                <w:sz w:val="16"/>
              </w:rPr>
              <w:t xml:space="preserve"> </w:t>
            </w:r>
          </w:p>
        </w:tc>
      </w:tr>
      <w:tr>
        <w:trPr>
          <w:trHeight w:val="181" w:hRule="atLeast"/>
        </w:trPr>
        <w:tc>
          <w:tcPr>
            <w:tcW w:w="2550" w:type="dxa"/>
            <w:tcBorders>
              <w:top w:val="nil"/>
              <w:left w:val="nil"/>
              <w:bottom w:val="nil"/>
              <w:right w:val="nil"/>
            </w:tcBorders>
            <w:shd w:val="clear" w:fill="e46d0a"/>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USD =458FCFA (</w:t>
            </w:r>
            <w:r>
              <w:rPr>
                <w:rFonts w:cs="Calibri" w:hAnsi="Calibri" w:eastAsia="Calibri" w:ascii="Calibri"/>
                <w:b w:val="1"/>
                <w:sz w:val="16"/>
              </w:rPr>
              <w:t xml:space="preserve">18 07 11) </w:t>
            </w:r>
            <w:r>
              <w:rPr>
                <w:rFonts w:cs="Calibri" w:hAnsi="Calibri" w:eastAsia="Calibri" w:ascii="Calibri"/>
                <w:b w:val="1"/>
                <w:sz w:val="16"/>
              </w:rPr>
              <w:t xml:space="preserve"> </w:t>
            </w:r>
          </w:p>
        </w:tc>
        <w:tc>
          <w:tcPr>
            <w:tcW w:w="1388" w:type="dxa"/>
            <w:tcBorders>
              <w:top w:val="nil"/>
              <w:left w:val="nil"/>
              <w:bottom w:val="nil"/>
              <w:right w:val="nil"/>
            </w:tcBorders>
            <w:shd w:val="clear" w:fill="e46d0a"/>
            <w:vAlign w:val="top"/>
          </w:tcPr>
          <w:p>
            <w:pPr>
              <w:spacing w:before="0" w:after="0" w:line="259" w:lineRule="auto"/>
              <w:ind w:left="71" w:firstLine="0"/>
              <w:jc w:val="left"/>
            </w:pPr>
            <w:r>
              <w:rPr>
                <w:rFonts w:cs="Calibri" w:hAnsi="Calibri" w:eastAsia="Calibri" w:ascii="Calibri"/>
                <w:b w:val="1"/>
                <w:sz w:val="16"/>
              </w:rPr>
              <w:t xml:space="preserve">                      </w:t>
            </w:r>
          </w:p>
        </w:tc>
        <w:tc>
          <w:tcPr>
            <w:tcW w:w="1085"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p>
        </w:tc>
        <w:tc>
          <w:tcPr>
            <w:tcW w:w="1356"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131 288   </w:t>
            </w:r>
            <w:r>
              <w:rPr>
                <w:rFonts w:cs="Calibri" w:hAnsi="Calibri" w:eastAsia="Calibri" w:ascii="Calibri"/>
                <w:b w:val="1"/>
                <w:sz w:val="16"/>
              </w:rPr>
              <w:t xml:space="preserve"> </w:t>
            </w:r>
          </w:p>
        </w:tc>
        <w:tc>
          <w:tcPr>
            <w:tcW w:w="1572"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209 017   </w:t>
            </w:r>
            <w:r>
              <w:rPr>
                <w:rFonts w:cs="Calibri" w:hAnsi="Calibri" w:eastAsia="Calibri" w:ascii="Calibri"/>
                <w:b w:val="1"/>
                <w:sz w:val="16"/>
              </w:rPr>
              <w:t xml:space="preserve"> </w:t>
            </w:r>
          </w:p>
        </w:tc>
        <w:tc>
          <w:tcPr>
            <w:tcW w:w="1553"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205 087   </w:t>
            </w:r>
            <w:r>
              <w:rPr>
                <w:rFonts w:cs="Calibri" w:hAnsi="Calibri" w:eastAsia="Calibri" w:ascii="Calibri"/>
                <w:b w:val="1"/>
                <w:sz w:val="16"/>
              </w:rPr>
              <w:t xml:space="preserve"> </w:t>
            </w:r>
          </w:p>
        </w:tc>
        <w:tc>
          <w:tcPr>
            <w:tcW w:w="1447"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200 721   </w:t>
            </w:r>
            <w:r>
              <w:rPr>
                <w:rFonts w:cs="Calibri" w:hAnsi="Calibri" w:eastAsia="Calibri" w:ascii="Calibri"/>
                <w:b w:val="1"/>
                <w:sz w:val="16"/>
              </w:rPr>
              <w:t xml:space="preserve"> </w:t>
            </w:r>
          </w:p>
        </w:tc>
        <w:tc>
          <w:tcPr>
            <w:tcW w:w="1376" w:type="dxa"/>
            <w:tcBorders>
              <w:top w:val="nil"/>
              <w:left w:val="nil"/>
              <w:bottom w:val="nil"/>
              <w:right w:val="nil"/>
            </w:tcBorders>
            <w:shd w:val="clear" w:fill="e46d0a"/>
            <w:vAlign w:val="top"/>
          </w:tcPr>
          <w:p>
            <w:pPr>
              <w:spacing w:before="0" w:after="0" w:line="259" w:lineRule="auto"/>
              <w:ind w:left="0" w:firstLine="0"/>
              <w:jc w:val="left"/>
            </w:pPr>
            <w:r>
              <w:rPr>
                <w:rFonts w:cs="Calibri" w:hAnsi="Calibri" w:eastAsia="Calibri" w:ascii="Calibri"/>
                <w:b w:val="1"/>
                <w:sz w:val="16"/>
              </w:rPr>
              <w:t xml:space="preserve">                </w:t>
            </w:r>
            <w:r>
              <w:rPr>
                <w:rFonts w:cs="Calibri" w:hAnsi="Calibri" w:eastAsia="Calibri" w:ascii="Calibri"/>
                <w:b w:val="1"/>
                <w:sz w:val="16"/>
              </w:rPr>
              <w:t xml:space="preserve">211 638   </w:t>
            </w:r>
            <w:r>
              <w:rPr>
                <w:rFonts w:cs="Calibri" w:hAnsi="Calibri" w:eastAsia="Calibri" w:ascii="Calibri"/>
                <w:b w:val="1"/>
                <w:sz w:val="16"/>
              </w:rPr>
              <w:t xml:space="preserve"> </w:t>
            </w:r>
          </w:p>
        </w:tc>
        <w:tc>
          <w:tcPr>
            <w:tcW w:w="1462" w:type="dxa"/>
            <w:tcBorders>
              <w:top w:val="nil"/>
              <w:left w:val="nil"/>
              <w:bottom w:val="nil"/>
              <w:right w:val="nil"/>
            </w:tcBorders>
            <w:shd w:val="clear" w:fill="e46d0a"/>
            <w:vAlign w:val="top"/>
          </w:tcPr>
          <w:p>
            <w:pPr>
              <w:spacing w:before="0" w:after="0" w:line="259" w:lineRule="auto"/>
              <w:ind w:left="70" w:firstLine="0"/>
              <w:jc w:val="left"/>
            </w:pPr>
            <w:r>
              <w:rPr>
                <w:rFonts w:cs="Calibri" w:hAnsi="Calibri" w:eastAsia="Calibri" w:ascii="Calibri"/>
                <w:b w:val="1"/>
                <w:sz w:val="16"/>
              </w:rPr>
              <w:t xml:space="preserve">                </w:t>
            </w:r>
            <w:r>
              <w:rPr>
                <w:rFonts w:cs="Calibri" w:hAnsi="Calibri" w:eastAsia="Calibri" w:ascii="Calibri"/>
                <w:b w:val="1"/>
                <w:sz w:val="16"/>
              </w:rPr>
              <w:t xml:space="preserve">954 476   </w:t>
            </w:r>
            <w:r>
              <w:rPr>
                <w:rFonts w:cs="Calibri" w:hAnsi="Calibri" w:eastAsia="Calibri" w:ascii="Calibri"/>
                <w:b w:val="1"/>
                <w:sz w:val="16"/>
              </w:rPr>
              <w:t xml:space="preserve"> </w:t>
            </w:r>
          </w:p>
        </w:tc>
      </w:tr>
    </w:tbl>
    <w:p>
      <w:pPr>
        <w:spacing w:before="0" w:after="0" w:line="259" w:lineRule="auto"/>
        <w:ind w:left="360" w:firstLine="0"/>
        <w:jc w:val="left"/>
      </w:pPr>
      <w:r>
        <w:rPr>
          <w:sz w:val="24"/>
        </w:rPr>
        <w:t xml:space="preserve"> </w:t>
      </w:r>
    </w:p>
    <w:p>
      <w:pPr>
        <w:spacing w:before="0" w:after="0" w:line="259" w:lineRule="auto"/>
        <w:ind w:left="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55"/>
        <w:jc w:val="left"/>
      </w:pPr>
      <w:r>
        <w:rPr>
          <w:rFonts w:cs="Times New Roman" w:hAnsi="Times New Roman" w:eastAsia="Times New Roman" w:ascii="Times New Roman"/>
          <w:b w:val="1"/>
          <w:sz w:val="24"/>
        </w:rPr>
        <w:t xml:space="preserve">Annexe </w:t>
      </w:r>
      <w:r>
        <w:rPr>
          <w:rFonts w:cs="Times New Roman" w:hAnsi="Times New Roman" w:eastAsia="Times New Roman" w:ascii="Times New Roman"/>
          <w:b w:val="1"/>
          <w:sz w:val="24"/>
        </w:rPr>
        <w:t xml:space="preserve">4</w:t>
      </w:r>
      <w:r>
        <w:rPr>
          <w:sz w:val="24"/>
        </w:rPr>
        <w:t xml:space="preserve"> </w:t>
      </w:r>
      <w:r>
        <w:rPr>
          <w:sz w:val="24"/>
        </w:rPr>
        <w:t xml:space="preserve">: Plan annuel 201</w:t>
      </w:r>
      <w:r>
        <w:rPr>
          <w:sz w:val="24"/>
        </w:rPr>
        <w:t xml:space="preserve">2</w:t>
      </w:r>
      <w:r>
        <w:rPr>
          <w:sz w:val="24"/>
        </w:rPr>
        <w:t xml:space="preserve"> </w:t>
      </w:r>
      <w:r>
        <w:rPr>
          <w:sz w:val="24"/>
        </w:rPr>
        <w:t xml:space="preserve">de suivi et évaluation du sous</w:t>
      </w:r>
      <w:r>
        <w:rPr>
          <w:sz w:val="24"/>
        </w:rPr>
        <w:t xml:space="preserve">-</w:t>
      </w:r>
      <w:r>
        <w:rPr>
          <w:sz w:val="24"/>
        </w:rPr>
        <w:t xml:space="preserve">programme</w:t>
      </w:r>
      <w:r>
        <w:rPr>
          <w:sz w:val="24"/>
        </w:rPr>
        <w:t xml:space="preserve"> </w:t>
      </w:r>
    </w:p>
    <w:p>
      <w:pPr>
        <w:spacing w:before="0" w:after="0" w:line="259" w:lineRule="auto"/>
        <w:ind w:left="360" w:firstLine="0"/>
        <w:jc w:val="left"/>
      </w:pPr>
      <w:r>
        <w:rPr>
          <w:sz w:val="24"/>
        </w:rPr>
        <w:t xml:space="preserve"> </w:t>
      </w:r>
    </w:p>
    <w:tbl>
      <w:tblPr>
        <w:tblStyle w:val="TableGrid"/>
        <w:tblW w:w="14786" w:type="dxa"/>
        <w:tblInd w:w="-107" w:type="dxa"/>
        <w:tblCellMar>
          <w:top w:w="7" w:type="dxa"/>
          <w:left w:w="107" w:type="dxa"/>
          <w:bottom w:w="0" w:type="dxa"/>
          <w:right w:w="61" w:type="dxa"/>
        </w:tblCellMar>
      </w:tblPr>
      <w:tblGrid>
        <w:gridCol w:w="3227"/>
        <w:gridCol w:w="1921"/>
        <w:gridCol w:w="1800"/>
        <w:gridCol w:w="593"/>
        <w:gridCol w:w="593"/>
        <w:gridCol w:w="592"/>
        <w:gridCol w:w="593"/>
        <w:gridCol w:w="2983"/>
        <w:gridCol w:w="1274"/>
        <w:gridCol w:w="1211"/>
      </w:tblGrid>
      <w:tr>
        <w:trPr>
          <w:trHeight w:val="469" w:hRule="atLeast"/>
        </w:trPr>
        <w:tc>
          <w:tcPr>
            <w:tcW w:w="3227"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50" w:firstLine="0"/>
              <w:jc w:val="center"/>
            </w:pPr>
            <w:r>
              <w:rPr>
                <w:rFonts w:cs="Times New Roman" w:hAnsi="Times New Roman" w:eastAsia="Times New Roman" w:ascii="Times New Roman"/>
                <w:b w:val="1"/>
                <w:sz w:val="20"/>
              </w:rPr>
              <w:t xml:space="preserve">ACTION</w:t>
            </w:r>
            <w:r>
              <w:rPr>
                <w:rFonts w:cs="Times New Roman" w:hAnsi="Times New Roman" w:eastAsia="Times New Roman" w:ascii="Times New Roman"/>
                <w:b w:val="1"/>
                <w:sz w:val="20"/>
              </w:rPr>
              <w:t xml:space="preserve"> </w:t>
            </w:r>
          </w:p>
        </w:tc>
        <w:tc>
          <w:tcPr>
            <w:tcW w:w="1921"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51" w:firstLine="0"/>
              <w:jc w:val="center"/>
            </w:pPr>
            <w:r>
              <w:rPr>
                <w:rFonts w:cs="Times New Roman" w:hAnsi="Times New Roman" w:eastAsia="Times New Roman" w:ascii="Times New Roman"/>
                <w:b w:val="1"/>
                <w:sz w:val="20"/>
              </w:rPr>
              <w:t xml:space="preserve">OUTPUT</w:t>
            </w:r>
            <w:r>
              <w:rPr>
                <w:rFonts w:cs="Times New Roman" w:hAnsi="Times New Roman" w:eastAsia="Times New Roman" w:ascii="Times New Roman"/>
                <w:b w:val="1"/>
                <w:sz w:val="20"/>
              </w:rPr>
              <w:t xml:space="preserve"> </w:t>
            </w:r>
          </w:p>
        </w:tc>
        <w:tc>
          <w:tcPr>
            <w:tcW w:w="1800"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4" w:firstLine="0"/>
            </w:pPr>
            <w:r>
              <w:rPr>
                <w:rFonts w:cs="Times New Roman" w:hAnsi="Times New Roman" w:eastAsia="Times New Roman" w:ascii="Times New Roman"/>
                <w:b w:val="1"/>
                <w:sz w:val="20"/>
              </w:rPr>
              <w:t xml:space="preserve">RESPONSABLES</w:t>
            </w:r>
            <w:r>
              <w:rPr>
                <w:rFonts w:cs="Times New Roman" w:hAnsi="Times New Roman" w:eastAsia="Times New Roman" w:ascii="Times New Roman"/>
                <w:b w:val="1"/>
                <w:sz w:val="20"/>
              </w:rPr>
              <w:t xml:space="preserve"> </w:t>
            </w:r>
          </w:p>
        </w:tc>
        <w:tc>
          <w:tcPr>
            <w:tcW w:w="2370" w:type="dxa"/>
            <w:gridSpan w:val="4"/>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firstLine="0"/>
              <w:jc w:val="center"/>
            </w:pPr>
            <w:r>
              <w:rPr>
                <w:rFonts w:cs="Times New Roman" w:hAnsi="Times New Roman" w:eastAsia="Times New Roman" w:ascii="Times New Roman"/>
                <w:b w:val="1"/>
                <w:sz w:val="20"/>
              </w:rPr>
              <w:t xml:space="preserve">CADRE CHRONOLOGIQUE</w:t>
            </w:r>
            <w:r>
              <w:rPr>
                <w:rFonts w:cs="Times New Roman" w:hAnsi="Times New Roman" w:eastAsia="Times New Roman" w:ascii="Times New Roman"/>
                <w:b w:val="1"/>
                <w:sz w:val="20"/>
              </w:rPr>
              <w:t xml:space="preserve"> </w:t>
            </w:r>
          </w:p>
        </w:tc>
        <w:tc>
          <w:tcPr>
            <w:tcW w:w="2983"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1" w:firstLine="0"/>
              <w:jc w:val="center"/>
            </w:pPr>
            <w:r>
              <w:rPr>
                <w:rFonts w:cs="Times New Roman" w:hAnsi="Times New Roman" w:eastAsia="Times New Roman" w:ascii="Times New Roman"/>
                <w:b w:val="1"/>
                <w:sz w:val="20"/>
              </w:rPr>
              <w:t xml:space="preserve"> </w:t>
            </w:r>
          </w:p>
          <w:p>
            <w:pPr>
              <w:spacing w:before="0" w:after="0" w:line="259" w:lineRule="auto"/>
              <w:ind w:left="0" w:right="53" w:firstLine="0"/>
              <w:jc w:val="center"/>
            </w:pPr>
            <w:r>
              <w:rPr>
                <w:rFonts w:cs="Times New Roman" w:hAnsi="Times New Roman" w:eastAsia="Times New Roman" w:ascii="Times New Roman"/>
                <w:b w:val="1"/>
                <w:sz w:val="20"/>
              </w:rPr>
              <w:t xml:space="preserve">FREQUENCE/DEADLINE</w:t>
            </w:r>
            <w:r>
              <w:rPr>
                <w:rFonts w:cs="Times New Roman" w:hAnsi="Times New Roman" w:eastAsia="Times New Roman" w:ascii="Times New Roman"/>
                <w:b w:val="1"/>
                <w:sz w:val="20"/>
              </w:rPr>
              <w:t xml:space="preserve"> </w:t>
            </w:r>
          </w:p>
        </w:tc>
        <w:tc>
          <w:tcPr>
            <w:tcW w:w="2485" w:type="dxa"/>
            <w:gridSpan w:val="2"/>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47" w:firstLine="0"/>
              <w:jc w:val="center"/>
            </w:pPr>
            <w:r>
              <w:rPr>
                <w:rFonts w:cs="Times New Roman" w:hAnsi="Times New Roman" w:eastAsia="Times New Roman" w:ascii="Times New Roman"/>
                <w:b w:val="1"/>
                <w:sz w:val="20"/>
              </w:rPr>
              <w:t xml:space="preserve">BUDGET</w:t>
            </w:r>
            <w:r>
              <w:rPr>
                <w:rFonts w:cs="Times New Roman" w:hAnsi="Times New Roman" w:eastAsia="Times New Roman" w:ascii="Times New Roman"/>
                <w:b w:val="1"/>
                <w:sz w:val="20"/>
              </w:rPr>
              <w:t xml:space="preserve"> </w:t>
            </w:r>
          </w:p>
        </w:tc>
      </w:tr>
      <w:tr>
        <w:trPr>
          <w:trHeight w:val="24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593"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73" w:firstLine="0"/>
              <w:jc w:val="left"/>
            </w:pPr>
            <w:r>
              <w:rPr>
                <w:rFonts w:cs="Times New Roman" w:hAnsi="Times New Roman" w:eastAsia="Times New Roman" w:ascii="Times New Roman"/>
                <w:b w:val="1"/>
                <w:sz w:val="20"/>
              </w:rPr>
              <w:t xml:space="preserve">T1</w:t>
            </w:r>
            <w:r>
              <w:rPr>
                <w:rFonts w:cs="Times New Roman" w:hAnsi="Times New Roman" w:eastAsia="Times New Roman" w:ascii="Times New Roman"/>
                <w:b w:val="1"/>
                <w:sz w:val="20"/>
              </w:rPr>
              <w:t xml:space="preserve"> </w:t>
            </w:r>
          </w:p>
        </w:tc>
        <w:tc>
          <w:tcPr>
            <w:tcW w:w="593"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73" w:firstLine="0"/>
              <w:jc w:val="left"/>
            </w:pPr>
            <w:r>
              <w:rPr>
                <w:rFonts w:cs="Times New Roman" w:hAnsi="Times New Roman" w:eastAsia="Times New Roman" w:ascii="Times New Roman"/>
                <w:b w:val="1"/>
                <w:sz w:val="20"/>
              </w:rPr>
              <w:t xml:space="preserve">T2</w:t>
            </w:r>
            <w:r>
              <w:rPr>
                <w:rFonts w:cs="Times New Roman" w:hAnsi="Times New Roman" w:eastAsia="Times New Roman" w:ascii="Times New Roman"/>
                <w:b w:val="1"/>
                <w:sz w:val="20"/>
              </w:rPr>
              <w:t xml:space="preserve"> </w:t>
            </w:r>
          </w:p>
        </w:tc>
        <w:tc>
          <w:tcPr>
            <w:tcW w:w="592"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73" w:firstLine="0"/>
              <w:jc w:val="left"/>
            </w:pPr>
            <w:r>
              <w:rPr>
                <w:rFonts w:cs="Times New Roman" w:hAnsi="Times New Roman" w:eastAsia="Times New Roman" w:ascii="Times New Roman"/>
                <w:b w:val="1"/>
                <w:sz w:val="20"/>
              </w:rPr>
              <w:t xml:space="preserve">T3</w:t>
            </w:r>
            <w:r>
              <w:rPr>
                <w:rFonts w:cs="Times New Roman" w:hAnsi="Times New Roman" w:eastAsia="Times New Roman" w:ascii="Times New Roman"/>
                <w:b w:val="1"/>
                <w:sz w:val="20"/>
              </w:rPr>
              <w:t xml:space="preserve"> </w:t>
            </w:r>
          </w:p>
        </w:tc>
        <w:tc>
          <w:tcPr>
            <w:tcW w:w="593"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72" w:firstLine="0"/>
              <w:jc w:val="left"/>
            </w:pPr>
            <w:r>
              <w:rPr>
                <w:rFonts w:cs="Times New Roman" w:hAnsi="Times New Roman" w:eastAsia="Times New Roman" w:ascii="Times New Roman"/>
                <w:b w:val="1"/>
                <w:sz w:val="20"/>
              </w:rPr>
              <w:t xml:space="preserve">T4</w:t>
            </w:r>
            <w:r>
              <w:rPr>
                <w:rFonts w:cs="Times New Roman" w:hAnsi="Times New Roman" w:eastAsia="Times New Roman" w:ascii="Times New Roman"/>
                <w:b w:val="1"/>
                <w:sz w:val="20"/>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274"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37" w:firstLine="0"/>
              <w:jc w:val="left"/>
            </w:pPr>
            <w:r>
              <w:rPr>
                <w:rFonts w:cs="Times New Roman" w:hAnsi="Times New Roman" w:eastAsia="Times New Roman" w:ascii="Times New Roman"/>
                <w:b w:val="1"/>
                <w:sz w:val="20"/>
              </w:rPr>
              <w:t xml:space="preserve">Description</w:t>
            </w:r>
            <w:r>
              <w:rPr>
                <w:rFonts w:cs="Times New Roman" w:hAnsi="Times New Roman" w:eastAsia="Times New Roman" w:ascii="Times New Roman"/>
                <w:b w:val="1"/>
                <w:sz w:val="20"/>
              </w:rPr>
              <w:t xml:space="preserve"> </w:t>
            </w:r>
          </w:p>
        </w:tc>
        <w:tc>
          <w:tcPr>
            <w:tcW w:w="1211"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46" w:firstLine="0"/>
              <w:jc w:val="center"/>
            </w:pPr>
            <w:r>
              <w:rPr>
                <w:rFonts w:cs="Times New Roman" w:hAnsi="Times New Roman" w:eastAsia="Times New Roman" w:ascii="Times New Roman"/>
                <w:b w:val="1"/>
                <w:sz w:val="20"/>
              </w:rPr>
              <w:t xml:space="preserve">Montant</w:t>
            </w:r>
            <w:r>
              <w:rPr>
                <w:rFonts w:cs="Times New Roman" w:hAnsi="Times New Roman" w:eastAsia="Times New Roman" w:ascii="Times New Roman"/>
                <w:b w:val="1"/>
                <w:sz w:val="20"/>
              </w:rPr>
              <w:t xml:space="preserve"> </w:t>
            </w:r>
          </w:p>
        </w:tc>
      </w:tr>
      <w:tr>
        <w:trPr>
          <w:trHeight w:val="239" w:hRule="atLeast"/>
        </w:trPr>
        <w:tc>
          <w:tcPr>
            <w:tcW w:w="3227" w:type="dxa"/>
            <w:tcBorders>
              <w:top w:val="single" w:sz="4" w:color="000000"/>
              <w:left w:val="single" w:sz="4" w:color="000000"/>
              <w:bottom w:val="single" w:sz="4" w:color="000000"/>
              <w:right w:val="nil"/>
            </w:tcBorders>
            <w:shd w:val="clear" w:fill="ffff99"/>
            <w:vAlign w:val="top"/>
          </w:tcPr>
          <w:p>
            <w:pPr>
              <w:spacing w:before="0" w:after="0" w:line="259" w:lineRule="auto"/>
              <w:ind w:left="0" w:firstLine="0"/>
              <w:jc w:val="left"/>
            </w:pPr>
            <w:r>
              <w:rPr>
                <w:rFonts w:cs="Times New Roman" w:hAnsi="Times New Roman" w:eastAsia="Times New Roman" w:ascii="Times New Roman"/>
                <w:b w:val="1"/>
                <w:sz w:val="20"/>
              </w:rPr>
              <w:t xml:space="preserve">Suivi</w:t>
            </w:r>
            <w:r>
              <w:rPr>
                <w:rFonts w:cs="Times New Roman" w:hAnsi="Times New Roman" w:eastAsia="Times New Roman" w:ascii="Times New Roman"/>
                <w:b w:val="1"/>
                <w:sz w:val="20"/>
              </w:rPr>
              <w:t xml:space="preserve"> </w:t>
            </w:r>
          </w:p>
        </w:tc>
        <w:tc>
          <w:tcPr>
            <w:tcW w:w="1921"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1800"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370" w:type="dxa"/>
            <w:gridSpan w:val="4"/>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983"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485" w:type="dxa"/>
            <w:gridSpan w:val="2"/>
            <w:tcBorders>
              <w:top w:val="single" w:sz="4" w:color="000000"/>
              <w:left w:val="nil"/>
              <w:bottom w:val="single" w:sz="4" w:color="000000"/>
              <w:right w:val="single" w:sz="4" w:color="000000"/>
            </w:tcBorders>
            <w:shd w:val="clear" w:fill="ffff99"/>
            <w:vAlign w:val="top"/>
          </w:tcPr>
          <w:p>
            <w:pPr>
              <w:bidi w:val="0"/>
              <w:spacing w:before="0" w:after="160" w:line="259" w:lineRule="auto"/>
              <w:ind w:left="0" w:right="0" w:firstLine="0"/>
              <w:jc w:val="left"/>
            </w:pPr>
          </w:p>
        </w:tc>
      </w:tr>
      <w:tr>
        <w:trPr>
          <w:trHeight w:val="472"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Missions</w:t>
            </w:r>
            <w:r>
              <w:rPr>
                <w:sz w:val="20"/>
              </w:rPr>
              <w:t xml:space="preserve"> </w:t>
            </w:r>
            <w:r>
              <w:rPr>
                <w:sz w:val="20"/>
              </w:rPr>
              <w:t xml:space="preserve">de terrain de suivi</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Rapports de mission</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Chargés</w:t>
            </w:r>
            <w:r>
              <w:rPr>
                <w:sz w:val="20"/>
              </w:rPr>
              <w:t xml:space="preserve"> </w:t>
            </w:r>
            <w:r>
              <w:rPr>
                <w:sz w:val="20"/>
              </w:rPr>
              <w:t xml:space="preserve">de programme</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X</w:t>
            </w: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Au moins une fois par mois</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DSA, </w:t>
            </w:r>
          </w:p>
          <w:p>
            <w:pPr>
              <w:spacing w:before="0" w:after="0" w:line="259" w:lineRule="auto"/>
              <w:ind w:left="1" w:firstLine="0"/>
              <w:jc w:val="left"/>
            </w:pPr>
            <w:r>
              <w:rPr>
                <w:sz w:val="20"/>
              </w:rPr>
              <w:t xml:space="preserve">carburant </w:t>
            </w: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469"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Mises</w:t>
            </w:r>
            <w:r>
              <w:rPr>
                <w:sz w:val="20"/>
              </w:rPr>
              <w:t xml:space="preserve"> </w:t>
            </w:r>
            <w:r>
              <w:rPr>
                <w:sz w:val="20"/>
              </w:rPr>
              <w:t xml:space="preserve">à jour Atlas</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0" w:right="48" w:firstLine="0"/>
              <w:jc w:val="center"/>
            </w:pP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Chargés</w:t>
            </w:r>
            <w:r>
              <w:rPr>
                <w:sz w:val="20"/>
              </w:rPr>
              <w:t xml:space="preserve"> </w:t>
            </w:r>
            <w:r>
              <w:rPr>
                <w:sz w:val="20"/>
              </w:rPr>
              <w:t xml:space="preserve">de programme</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X</w:t>
            </w: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A chaque fois que de besoins</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470"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Réunions du</w:t>
            </w:r>
            <w:r>
              <w:rPr>
                <w:sz w:val="20"/>
              </w:rPr>
              <w:t xml:space="preserve"> </w:t>
            </w:r>
            <w:r>
              <w:rPr>
                <w:sz w:val="20"/>
              </w:rPr>
              <w:t xml:space="preserve">comité de pilotage</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CR de réunion</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Chargés</w:t>
            </w:r>
            <w:r>
              <w:rPr>
                <w:sz w:val="20"/>
              </w:rPr>
              <w:t xml:space="preserve"> </w:t>
            </w:r>
            <w:r>
              <w:rPr>
                <w:sz w:val="20"/>
              </w:rPr>
              <w:t xml:space="preserve">de programme</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X</w:t>
            </w: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Deux (02) fois par an</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DSA </w:t>
            </w:r>
          </w:p>
          <w:p>
            <w:pPr>
              <w:spacing w:before="0" w:after="0" w:line="259" w:lineRule="auto"/>
              <w:ind w:left="1" w:firstLine="0"/>
              <w:jc w:val="left"/>
            </w:pPr>
            <w:r>
              <w:rPr>
                <w:sz w:val="20"/>
              </w:rPr>
              <w:t xml:space="preserve">carburant</w:t>
            </w: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241"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238" w:hRule="atLeast"/>
        </w:trPr>
        <w:tc>
          <w:tcPr>
            <w:tcW w:w="3227" w:type="dxa"/>
            <w:tcBorders>
              <w:top w:val="single" w:sz="4" w:color="000000"/>
              <w:left w:val="single" w:sz="4" w:color="000000"/>
              <w:bottom w:val="single" w:sz="4" w:color="000000"/>
              <w:right w:val="nil"/>
            </w:tcBorders>
            <w:shd w:val="clear" w:fill="ffff99"/>
            <w:vAlign w:val="top"/>
          </w:tcPr>
          <w:p>
            <w:pPr>
              <w:spacing w:before="0" w:after="0" w:line="259" w:lineRule="auto"/>
              <w:ind w:left="0" w:firstLine="0"/>
              <w:jc w:val="left"/>
            </w:pPr>
            <w:r>
              <w:rPr>
                <w:rFonts w:cs="Times New Roman" w:hAnsi="Times New Roman" w:eastAsia="Times New Roman" w:ascii="Times New Roman"/>
                <w:b w:val="1"/>
                <w:sz w:val="20"/>
              </w:rPr>
              <w:t xml:space="preserve">Evaluation</w:t>
            </w:r>
            <w:r>
              <w:rPr>
                <w:rFonts w:cs="Times New Roman" w:hAnsi="Times New Roman" w:eastAsia="Times New Roman" w:ascii="Times New Roman"/>
                <w:b w:val="1"/>
                <w:sz w:val="20"/>
              </w:rPr>
              <w:t xml:space="preserve">  </w:t>
            </w:r>
          </w:p>
        </w:tc>
        <w:tc>
          <w:tcPr>
            <w:tcW w:w="1921"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1800"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370" w:type="dxa"/>
            <w:gridSpan w:val="4"/>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983"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485" w:type="dxa"/>
            <w:gridSpan w:val="2"/>
            <w:tcBorders>
              <w:top w:val="single" w:sz="4" w:color="000000"/>
              <w:left w:val="nil"/>
              <w:bottom w:val="single" w:sz="4" w:color="000000"/>
              <w:right w:val="single" w:sz="4" w:color="000000"/>
            </w:tcBorders>
            <w:shd w:val="clear" w:fill="ffff99"/>
            <w:vAlign w:val="top"/>
          </w:tcPr>
          <w:p>
            <w:pPr>
              <w:bidi w:val="0"/>
              <w:spacing w:before="0" w:after="160" w:line="259" w:lineRule="auto"/>
              <w:ind w:left="0" w:right="0" w:firstLine="0"/>
              <w:jc w:val="left"/>
            </w:pPr>
          </w:p>
        </w:tc>
      </w:tr>
      <w:tr>
        <w:trPr>
          <w:trHeight w:val="702"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Evaluations</w:t>
            </w:r>
            <w:r>
              <w:rPr>
                <w:sz w:val="20"/>
              </w:rPr>
              <w:t xml:space="preserve"> </w:t>
            </w:r>
            <w:r>
              <w:rPr>
                <w:sz w:val="20"/>
              </w:rPr>
              <w:t xml:space="preserve">à mi</w:t>
            </w:r>
            <w:r>
              <w:rPr>
                <w:sz w:val="20"/>
              </w:rPr>
              <w:t xml:space="preserve">-</w:t>
            </w:r>
            <w:r>
              <w:rPr>
                <w:sz w:val="20"/>
              </w:rPr>
              <w:t xml:space="preserve">parcours</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 d</w:t>
            </w:r>
            <w:r>
              <w:rPr>
                <w:sz w:val="20"/>
              </w:rPr>
              <w:t xml:space="preserve">‟</w:t>
            </w:r>
            <w:r>
              <w:rPr>
                <w:sz w:val="20"/>
              </w:rPr>
              <w:t xml:space="preserve">évaluation</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Consultants nationaux et internationaux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Une fois à mi</w:t>
            </w:r>
            <w:r>
              <w:rPr>
                <w:sz w:val="20"/>
              </w:rPr>
              <w:t xml:space="preserve">-</w:t>
            </w:r>
            <w:r>
              <w:rPr>
                <w:sz w:val="20"/>
              </w:rPr>
              <w:t xml:space="preserve">parcours de l</w:t>
            </w:r>
            <w:r>
              <w:rPr>
                <w:sz w:val="20"/>
              </w:rPr>
              <w:t xml:space="preserve">‟</w:t>
            </w:r>
            <w:r>
              <w:rPr>
                <w:sz w:val="20"/>
              </w:rPr>
              <w:t xml:space="preserve">exécution du projet</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DSA et honoraires consultants</w:t>
            </w: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699"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Audits</w:t>
            </w:r>
            <w:r>
              <w:rPr>
                <w:sz w:val="20"/>
              </w:rPr>
              <w:t xml:space="preserve"> </w:t>
            </w:r>
            <w:r>
              <w:rPr>
                <w:sz w:val="20"/>
              </w:rPr>
              <w:t xml:space="preserve">des projets</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 d</w:t>
            </w:r>
            <w:r>
              <w:rPr>
                <w:sz w:val="20"/>
              </w:rPr>
              <w:t xml:space="preserve">‟</w:t>
            </w:r>
            <w:r>
              <w:rPr>
                <w:sz w:val="20"/>
              </w:rPr>
              <w:t xml:space="preserve">audit</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Cabinets d</w:t>
            </w:r>
            <w:r>
              <w:rPr>
                <w:sz w:val="20"/>
              </w:rPr>
              <w:t xml:space="preserve">‟</w:t>
            </w:r>
            <w:r>
              <w:rPr>
                <w:sz w:val="20"/>
              </w:rPr>
              <w:t xml:space="preserve">audits</w:t>
            </w:r>
            <w:r>
              <w:rPr>
                <w:sz w:val="20"/>
              </w:rPr>
              <w:t xml:space="preserve"> </w:t>
            </w:r>
            <w:r>
              <w:rPr>
                <w:sz w:val="20"/>
              </w:rPr>
              <w:t xml:space="preserve">externes</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Une fois durant le cycle du projet</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DSA et honoraires consultants</w:t>
            </w: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701"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Evaluations</w:t>
            </w:r>
            <w:r>
              <w:rPr>
                <w:sz w:val="20"/>
              </w:rPr>
              <w:t xml:space="preserve"> </w:t>
            </w:r>
            <w:r>
              <w:rPr>
                <w:sz w:val="20"/>
              </w:rPr>
              <w:t xml:space="preserve">finales</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Rapports d</w:t>
            </w:r>
            <w:r>
              <w:rPr>
                <w:sz w:val="20"/>
              </w:rPr>
              <w:t xml:space="preserve">‟</w:t>
            </w:r>
            <w:r>
              <w:rPr>
                <w:sz w:val="20"/>
              </w:rPr>
              <w:t xml:space="preserve">évaluation</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Consultants nationaux et internationaux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p>
            <w:pPr>
              <w:spacing w:before="0" w:after="0" w:line="259" w:lineRule="auto"/>
              <w:ind w:left="0" w:firstLine="0"/>
              <w:jc w:val="left"/>
            </w:pPr>
            <w:r>
              <w:rPr>
                <w:sz w:val="20"/>
              </w:rPr>
              <w:t xml:space="preserve">Une fois à la fin du projet</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DSA et honoraires consultants</w:t>
            </w: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241"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238" w:hRule="atLeast"/>
        </w:trPr>
        <w:tc>
          <w:tcPr>
            <w:tcW w:w="3227" w:type="dxa"/>
            <w:tcBorders>
              <w:top w:val="single" w:sz="4" w:color="000000"/>
              <w:left w:val="single" w:sz="4" w:color="000000"/>
              <w:bottom w:val="single" w:sz="4" w:color="000000"/>
              <w:right w:val="nil"/>
            </w:tcBorders>
            <w:shd w:val="clear" w:fill="ffff99"/>
            <w:vAlign w:val="top"/>
          </w:tcPr>
          <w:p>
            <w:pPr>
              <w:spacing w:before="0" w:after="0" w:line="259" w:lineRule="auto"/>
              <w:ind w:left="0" w:firstLine="0"/>
              <w:jc w:val="left"/>
            </w:pPr>
            <w:r>
              <w:rPr>
                <w:rFonts w:cs="Times New Roman" w:hAnsi="Times New Roman" w:eastAsia="Times New Roman" w:ascii="Times New Roman"/>
                <w:b w:val="1"/>
                <w:sz w:val="20"/>
              </w:rPr>
              <w:t xml:space="preserve">Rapportage</w:t>
            </w:r>
            <w:r>
              <w:rPr>
                <w:rFonts w:cs="Times New Roman" w:hAnsi="Times New Roman" w:eastAsia="Times New Roman" w:ascii="Times New Roman"/>
                <w:b w:val="1"/>
                <w:sz w:val="20"/>
              </w:rPr>
              <w:t xml:space="preserve"> </w:t>
            </w:r>
          </w:p>
        </w:tc>
        <w:tc>
          <w:tcPr>
            <w:tcW w:w="1921"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1800"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370" w:type="dxa"/>
            <w:gridSpan w:val="4"/>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983"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485" w:type="dxa"/>
            <w:gridSpan w:val="2"/>
            <w:tcBorders>
              <w:top w:val="single" w:sz="4" w:color="000000"/>
              <w:left w:val="nil"/>
              <w:bottom w:val="single" w:sz="4" w:color="000000"/>
              <w:right w:val="single" w:sz="4" w:color="000000"/>
            </w:tcBorders>
            <w:shd w:val="clear" w:fill="ffff99"/>
            <w:vAlign w:val="top"/>
          </w:tcPr>
          <w:p>
            <w:pPr>
              <w:bidi w:val="0"/>
              <w:spacing w:before="0" w:after="160" w:line="259" w:lineRule="auto"/>
              <w:ind w:left="0" w:right="0" w:firstLine="0"/>
              <w:jc w:val="left"/>
            </w:pPr>
          </w:p>
        </w:tc>
      </w:tr>
      <w:tr>
        <w:trPr>
          <w:trHeight w:val="472"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Rapports</w:t>
            </w:r>
            <w:r>
              <w:rPr>
                <w:sz w:val="20"/>
              </w:rPr>
              <w:t xml:space="preserve"> </w:t>
            </w:r>
            <w:r>
              <w:rPr>
                <w:sz w:val="20"/>
              </w:rPr>
              <w:t xml:space="preserve">trimestriels</w:t>
            </w:r>
            <w:r>
              <w:rPr>
                <w:sz w:val="20"/>
              </w:rPr>
              <w:t xml:space="preserve"> </w:t>
            </w:r>
            <w:r>
              <w:rPr>
                <w:sz w:val="20"/>
              </w:rPr>
              <w:t xml:space="preserve">d</w:t>
            </w:r>
            <w:r>
              <w:rPr>
                <w:sz w:val="20"/>
              </w:rPr>
              <w:t xml:space="preserve">‟</w:t>
            </w:r>
            <w:r>
              <w:rPr>
                <w:sz w:val="20"/>
              </w:rPr>
              <w:t xml:space="preserve">activités</w:t>
            </w:r>
            <w:r>
              <w:rPr>
                <w:sz w:val="20"/>
              </w:rPr>
              <w:t xml:space="preserve"> (</w:t>
            </w:r>
            <w:r>
              <w:rPr>
                <w:sz w:val="20"/>
              </w:rPr>
              <w:t xml:space="preserve">QOR</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Rapports</w:t>
            </w:r>
            <w:r>
              <w:rPr>
                <w:sz w:val="20"/>
              </w:rPr>
              <w:t xml:space="preserve"> </w:t>
            </w:r>
            <w:r>
              <w:rPr>
                <w:sz w:val="20"/>
              </w:rPr>
              <w:t xml:space="preserve">d</w:t>
            </w:r>
            <w:r>
              <w:rPr>
                <w:sz w:val="20"/>
              </w:rPr>
              <w:t xml:space="preserve">‟</w:t>
            </w:r>
            <w:r>
              <w:rPr>
                <w:sz w:val="20"/>
              </w:rPr>
              <w:t xml:space="preserve">activités</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Chefs de projet</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X</w:t>
            </w: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Chaque trimestre</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240"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Rapports annuels</w:t>
            </w:r>
            <w:r>
              <w:rPr>
                <w:sz w:val="20"/>
              </w:rPr>
              <w:t xml:space="preserve"> </w:t>
            </w:r>
            <w:r>
              <w:rPr>
                <w:sz w:val="20"/>
              </w:rPr>
              <w:t xml:space="preserve">d</w:t>
            </w:r>
            <w:r>
              <w:rPr>
                <w:sz w:val="20"/>
              </w:rPr>
              <w:t xml:space="preserve">‟</w:t>
            </w:r>
            <w:r>
              <w:rPr>
                <w:sz w:val="20"/>
              </w:rPr>
              <w:t xml:space="preserve">activités (APR)</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Rapports</w:t>
            </w:r>
            <w:r>
              <w:rPr>
                <w:sz w:val="20"/>
              </w:rPr>
              <w:t xml:space="preserve"> </w:t>
            </w:r>
            <w:r>
              <w:rPr>
                <w:sz w:val="20"/>
              </w:rPr>
              <w:t xml:space="preserve">d</w:t>
            </w:r>
            <w:r>
              <w:rPr>
                <w:sz w:val="20"/>
              </w:rPr>
              <w:t xml:space="preserve">‟</w:t>
            </w:r>
            <w:r>
              <w:rPr>
                <w:sz w:val="20"/>
              </w:rPr>
              <w:t xml:space="preserve">activités</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Chefs de projets</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Chaque année</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472"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Project implementation review (PIR)</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Rapports</w:t>
            </w:r>
            <w:r>
              <w:rPr>
                <w:sz w:val="20"/>
              </w:rPr>
              <w:t xml:space="preserve"> </w:t>
            </w:r>
            <w:r>
              <w:rPr>
                <w:sz w:val="20"/>
              </w:rPr>
              <w:t xml:space="preserve">d</w:t>
            </w:r>
            <w:r>
              <w:rPr>
                <w:sz w:val="20"/>
              </w:rPr>
              <w:t xml:space="preserve">‟</w:t>
            </w:r>
            <w:r>
              <w:rPr>
                <w:sz w:val="20"/>
              </w:rPr>
              <w:t xml:space="preserve">activités</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Chargés de programme</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Chaque année</w:t>
            </w: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238" w:hRule="atLeast"/>
        </w:trPr>
        <w:tc>
          <w:tcPr>
            <w:tcW w:w="3227" w:type="dxa"/>
            <w:tcBorders>
              <w:top w:val="single" w:sz="4" w:color="000000"/>
              <w:left w:val="single" w:sz="4" w:color="000000"/>
              <w:bottom w:val="single" w:sz="4" w:color="000000"/>
              <w:right w:val="nil"/>
            </w:tcBorders>
            <w:shd w:val="clear" w:fill="ffff99"/>
            <w:vAlign w:val="top"/>
          </w:tcPr>
          <w:p>
            <w:pPr>
              <w:spacing w:before="0" w:after="0" w:line="259" w:lineRule="auto"/>
              <w:ind w:left="0" w:firstLine="0"/>
              <w:jc w:val="left"/>
            </w:pPr>
            <w:r>
              <w:rPr>
                <w:rFonts w:cs="Times New Roman" w:hAnsi="Times New Roman" w:eastAsia="Times New Roman" w:ascii="Times New Roman"/>
                <w:b w:val="1"/>
                <w:sz w:val="20"/>
              </w:rPr>
              <w:t xml:space="preserve">Planification</w:t>
            </w:r>
            <w:r>
              <w:rPr>
                <w:rFonts w:cs="Times New Roman" w:hAnsi="Times New Roman" w:eastAsia="Times New Roman" w:ascii="Times New Roman"/>
                <w:b w:val="1"/>
                <w:sz w:val="20"/>
              </w:rPr>
              <w:t xml:space="preserve"> </w:t>
            </w:r>
          </w:p>
        </w:tc>
        <w:tc>
          <w:tcPr>
            <w:tcW w:w="1921"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1800"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370" w:type="dxa"/>
            <w:gridSpan w:val="4"/>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983" w:type="dxa"/>
            <w:tcBorders>
              <w:top w:val="single" w:sz="4" w:color="000000"/>
              <w:left w:val="nil"/>
              <w:bottom w:val="single" w:sz="4" w:color="000000"/>
              <w:right w:val="nil"/>
            </w:tcBorders>
            <w:shd w:val="clear" w:fill="ffff99"/>
            <w:vAlign w:val="top"/>
          </w:tcPr>
          <w:p>
            <w:pPr>
              <w:bidi w:val="0"/>
              <w:spacing w:before="0" w:after="160" w:line="259" w:lineRule="auto"/>
              <w:ind w:left="0" w:right="0" w:firstLine="0"/>
              <w:jc w:val="left"/>
            </w:pPr>
          </w:p>
        </w:tc>
        <w:tc>
          <w:tcPr>
            <w:tcW w:w="2485" w:type="dxa"/>
            <w:gridSpan w:val="2"/>
            <w:tcBorders>
              <w:top w:val="single" w:sz="4" w:color="000000"/>
              <w:left w:val="nil"/>
              <w:bottom w:val="single" w:sz="4" w:color="000000"/>
              <w:right w:val="single" w:sz="4" w:color="000000"/>
            </w:tcBorders>
            <w:shd w:val="clear" w:fill="ffff99"/>
            <w:vAlign w:val="top"/>
          </w:tcPr>
          <w:p>
            <w:pPr>
              <w:bidi w:val="0"/>
              <w:spacing w:before="0" w:after="160" w:line="259" w:lineRule="auto"/>
              <w:ind w:left="0" w:right="0" w:firstLine="0"/>
              <w:jc w:val="left"/>
            </w:pPr>
          </w:p>
        </w:tc>
      </w:tr>
      <w:tr>
        <w:trPr>
          <w:trHeight w:val="241"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Affinement du plan de travail annuel</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PTA 2011</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r>
        <w:trPr>
          <w:trHeight w:val="470" w:hRule="atLeast"/>
        </w:trPr>
        <w:tc>
          <w:tcPr>
            <w:tcW w:w="322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Etablissement de la situation de référence</w:t>
            </w:r>
            <w:r>
              <w:rPr>
                <w:sz w:val="20"/>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rapport</w:t>
            </w:r>
            <w:r>
              <w:rPr>
                <w:sz w:val="20"/>
              </w:rPr>
              <w:t xml:space="preserve"> </w:t>
            </w:r>
          </w:p>
        </w:tc>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X</w:t>
            </w: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5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298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274"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c>
          <w:tcPr>
            <w:tcW w:w="121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0"/>
              </w:rPr>
              <w:t xml:space="preserve"> </w:t>
            </w:r>
          </w:p>
        </w:tc>
      </w:tr>
    </w:tbl>
    <w:p>
      <w:pPr>
        <w:spacing w:before="0" w:after="0" w:line="259" w:lineRule="auto"/>
        <w:ind w:left="360" w:firstLine="0"/>
        <w:jc w:val="left"/>
      </w:pPr>
      <w:r>
        <w:rPr>
          <w:sz w:val="24"/>
        </w:rPr>
        <w:t xml:space="preserve"> </w:t>
      </w:r>
    </w:p>
    <w:p>
      <w:pPr>
        <w:sectPr>
          <w:headerReference w:type="even" r:id="rId41"/>
          <w:headerReference w:type="default" r:id="rId39"/>
          <w:headerReference w:type="first" r:id="rId37"/>
          <w:footerReference w:type="even" r:id="rId42"/>
          <w:footerReference w:type="default" r:id="rId40"/>
          <w:footerReference w:type="first" r:id="rId38"/>
          <w:pgSz w:w="16838" w:h="11906" w:orient="landscape"/>
          <w:pgMar w:header="718" w:footer="717" w:left="1440" w:top="1603" w:right="1855" w:bottom="532"/>
          <w:pgNumType w:fmt="decimal"/>
          <w:cols/>
          <w:titlePg/>
        </w:sectPr>
      </w:pPr>
    </w:p>
    <w:p>
      <w:pPr>
        <w:spacing w:before="0" w:after="0" w:line="259" w:lineRule="auto"/>
        <w:ind w:left="360" w:firstLine="0"/>
        <w:jc w:val="left"/>
      </w:pPr>
      <w:r>
        <w:rPr>
          <w:sz w:val="24"/>
        </w:rPr>
        <w:t xml:space="preserve"> </w:t>
      </w:r>
    </w:p>
    <w:p>
      <w:pPr>
        <w:spacing w:before="0" w:after="0" w:line="259" w:lineRule="auto"/>
        <w:ind w:left="355"/>
        <w:jc w:val="left"/>
      </w:pPr>
      <w:r>
        <w:rPr>
          <w:rFonts w:cs="Times New Roman" w:hAnsi="Times New Roman" w:eastAsia="Times New Roman" w:ascii="Times New Roman"/>
          <w:b w:val="1"/>
          <w:sz w:val="24"/>
        </w:rPr>
        <w:t xml:space="preserve">Annexe </w:t>
      </w:r>
      <w:r>
        <w:rPr>
          <w:rFonts w:cs="Times New Roman" w:hAnsi="Times New Roman" w:eastAsia="Times New Roman" w:ascii="Times New Roman"/>
          <w:b w:val="1"/>
          <w:sz w:val="24"/>
        </w:rPr>
        <w:t xml:space="preserve">5</w:t>
      </w:r>
      <w:r>
        <w:rPr>
          <w:rFonts w:cs="Times New Roman" w:hAnsi="Times New Roman" w:eastAsia="Times New Roman" w:ascii="Times New Roman"/>
          <w:b w:val="1"/>
          <w:sz w:val="24"/>
        </w:rPr>
        <w:t xml:space="preserve"> </w:t>
      </w:r>
      <w:r>
        <w:rPr>
          <w:rFonts w:cs="Times New Roman" w:hAnsi="Times New Roman" w:eastAsia="Times New Roman" w:ascii="Times New Roman"/>
          <w:b w:val="1"/>
          <w:sz w:val="24"/>
        </w:rPr>
        <w:t xml:space="preserve">:</w:t>
      </w:r>
      <w:r>
        <w:rPr>
          <w:sz w:val="24"/>
        </w:rPr>
        <w:t xml:space="preserve"> </w:t>
      </w:r>
      <w:r>
        <w:rPr>
          <w:sz w:val="24"/>
        </w:rPr>
        <w:t xml:space="preserve">Plan de communication</w:t>
      </w:r>
      <w:r>
        <w:rPr>
          <w:sz w:val="24"/>
        </w:rPr>
        <w:t xml:space="preserve"> </w:t>
      </w:r>
    </w:p>
    <w:p>
      <w:pPr>
        <w:spacing w:before="0" w:after="0" w:line="259" w:lineRule="auto"/>
        <w:ind w:left="360" w:firstLine="0"/>
        <w:jc w:val="left"/>
      </w:pPr>
      <w:r>
        <w:rPr>
          <w:sz w:val="24"/>
        </w:rPr>
        <w:t xml:space="preserve"> </w:t>
      </w:r>
    </w:p>
    <w:tbl>
      <w:tblPr>
        <w:tblStyle w:val="TableGrid"/>
        <w:tblW w:w="9966" w:type="dxa"/>
        <w:tblInd w:w="314" w:type="dxa"/>
        <w:tblCellMar>
          <w:top w:w="5" w:type="dxa"/>
          <w:left w:w="107" w:type="dxa"/>
          <w:bottom w:w="0" w:type="dxa"/>
          <w:right w:w="50" w:type="dxa"/>
        </w:tblCellMar>
      </w:tblPr>
      <w:tblGrid>
        <w:gridCol w:w="2396"/>
        <w:gridCol w:w="1851"/>
        <w:gridCol w:w="1193"/>
        <w:gridCol w:w="1342"/>
        <w:gridCol w:w="451"/>
        <w:gridCol w:w="452"/>
        <w:gridCol w:w="449"/>
        <w:gridCol w:w="463"/>
        <w:gridCol w:w="1369"/>
      </w:tblGrid>
      <w:tr>
        <w:trPr>
          <w:trHeight w:val="378" w:hRule="atLeast"/>
        </w:trPr>
        <w:tc>
          <w:tcPr>
            <w:tcW w:w="2396"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21" w:firstLine="0"/>
              <w:jc w:val="center"/>
            </w:pPr>
            <w:r>
              <w:rPr>
                <w:rFonts w:cs="Times New Roman" w:hAnsi="Times New Roman" w:eastAsia="Times New Roman" w:ascii="Times New Roman"/>
                <w:b w:val="1"/>
                <w:sz w:val="16"/>
              </w:rPr>
              <w:t xml:space="preserve"> </w:t>
            </w:r>
          </w:p>
          <w:p>
            <w:pPr>
              <w:spacing w:before="0" w:after="0" w:line="259" w:lineRule="auto"/>
              <w:ind w:left="0" w:right="57" w:firstLine="0"/>
              <w:jc w:val="center"/>
            </w:pPr>
            <w:r>
              <w:rPr>
                <w:rFonts w:cs="Times New Roman" w:hAnsi="Times New Roman" w:eastAsia="Times New Roman" w:ascii="Times New Roman"/>
                <w:b w:val="1"/>
                <w:sz w:val="16"/>
              </w:rPr>
              <w:t xml:space="preserve">ACTION</w:t>
            </w:r>
            <w:r>
              <w:rPr>
                <w:rFonts w:cs="Times New Roman" w:hAnsi="Times New Roman" w:eastAsia="Times New Roman" w:ascii="Times New Roman"/>
                <w:b w:val="1"/>
                <w:sz w:val="16"/>
              </w:rPr>
              <w:t xml:space="preserve"> </w:t>
            </w:r>
          </w:p>
        </w:tc>
        <w:tc>
          <w:tcPr>
            <w:tcW w:w="1851"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19" w:firstLine="0"/>
              <w:jc w:val="center"/>
            </w:pPr>
            <w:r>
              <w:rPr>
                <w:rFonts w:cs="Times New Roman" w:hAnsi="Times New Roman" w:eastAsia="Times New Roman" w:ascii="Times New Roman"/>
                <w:b w:val="1"/>
                <w:sz w:val="16"/>
              </w:rPr>
              <w:t xml:space="preserve"> </w:t>
            </w:r>
          </w:p>
          <w:p>
            <w:pPr>
              <w:spacing w:before="0" w:after="0" w:line="259" w:lineRule="auto"/>
              <w:ind w:left="0" w:right="58" w:firstLine="0"/>
              <w:jc w:val="center"/>
            </w:pPr>
            <w:r>
              <w:rPr>
                <w:rFonts w:cs="Times New Roman" w:hAnsi="Times New Roman" w:eastAsia="Times New Roman" w:ascii="Times New Roman"/>
                <w:b w:val="1"/>
                <w:sz w:val="16"/>
              </w:rPr>
              <w:t xml:space="preserve">SUPPORT DE </w:t>
            </w:r>
          </w:p>
          <w:p>
            <w:pPr>
              <w:spacing w:before="0" w:after="0" w:line="259" w:lineRule="auto"/>
              <w:ind w:left="81" w:firstLine="0"/>
              <w:jc w:val="left"/>
            </w:pPr>
            <w:r>
              <w:rPr>
                <w:rFonts w:cs="Times New Roman" w:hAnsi="Times New Roman" w:eastAsia="Times New Roman" w:ascii="Times New Roman"/>
                <w:b w:val="1"/>
                <w:sz w:val="16"/>
              </w:rPr>
              <w:t xml:space="preserve">COMMUNICATION</w:t>
            </w:r>
            <w:r>
              <w:rPr>
                <w:rFonts w:cs="Times New Roman" w:hAnsi="Times New Roman" w:eastAsia="Times New Roman" w:ascii="Times New Roman"/>
                <w:b w:val="1"/>
                <w:sz w:val="16"/>
              </w:rPr>
              <w:t xml:space="preserve"> </w:t>
            </w:r>
          </w:p>
        </w:tc>
        <w:tc>
          <w:tcPr>
            <w:tcW w:w="1193"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20" w:firstLine="0"/>
              <w:jc w:val="center"/>
            </w:pPr>
            <w:r>
              <w:rPr>
                <w:rFonts w:cs="Times New Roman" w:hAnsi="Times New Roman" w:eastAsia="Times New Roman" w:ascii="Times New Roman"/>
                <w:b w:val="1"/>
                <w:sz w:val="16"/>
              </w:rPr>
              <w:t xml:space="preserve"> </w:t>
            </w:r>
          </w:p>
          <w:p>
            <w:pPr>
              <w:spacing w:before="0" w:after="0" w:line="259" w:lineRule="auto"/>
              <w:ind w:left="0" w:right="55" w:firstLine="0"/>
              <w:jc w:val="center"/>
            </w:pPr>
            <w:r>
              <w:rPr>
                <w:rFonts w:cs="Times New Roman" w:hAnsi="Times New Roman" w:eastAsia="Times New Roman" w:ascii="Times New Roman"/>
                <w:b w:val="1"/>
                <w:sz w:val="16"/>
              </w:rPr>
              <w:t xml:space="preserve">CIBLES</w:t>
            </w:r>
            <w:r>
              <w:rPr>
                <w:rFonts w:cs="Times New Roman" w:hAnsi="Times New Roman" w:eastAsia="Times New Roman" w:ascii="Times New Roman"/>
                <w:b w:val="1"/>
                <w:sz w:val="16"/>
              </w:rPr>
              <w:t xml:space="preserve"> </w:t>
            </w:r>
          </w:p>
        </w:tc>
        <w:tc>
          <w:tcPr>
            <w:tcW w:w="1342"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 w:firstLine="0"/>
              <w:jc w:val="left"/>
            </w:pPr>
            <w:r>
              <w:rPr>
                <w:rFonts w:cs="Times New Roman" w:hAnsi="Times New Roman" w:eastAsia="Times New Roman" w:ascii="Times New Roman"/>
                <w:b w:val="1"/>
                <w:sz w:val="16"/>
              </w:rPr>
              <w:t xml:space="preserve"> </w:t>
            </w:r>
          </w:p>
          <w:p>
            <w:pPr>
              <w:spacing w:before="0" w:after="0" w:line="259" w:lineRule="auto"/>
              <w:ind w:left="1" w:firstLine="0"/>
              <w:jc w:val="left"/>
            </w:pPr>
            <w:r>
              <w:rPr>
                <w:rFonts w:cs="Times New Roman" w:hAnsi="Times New Roman" w:eastAsia="Times New Roman" w:ascii="Times New Roman"/>
                <w:b w:val="1"/>
                <w:sz w:val="16"/>
              </w:rPr>
              <w:t xml:space="preserve">RESPONSABL</w:t>
            </w:r>
          </w:p>
          <w:p>
            <w:pPr>
              <w:spacing w:before="0" w:after="0" w:line="259" w:lineRule="auto"/>
              <w:ind w:left="1" w:firstLine="0"/>
              <w:jc w:val="left"/>
            </w:pPr>
            <w:r>
              <w:rPr>
                <w:rFonts w:cs="Times New Roman" w:hAnsi="Times New Roman" w:eastAsia="Times New Roman" w:ascii="Times New Roman"/>
                <w:b w:val="1"/>
                <w:sz w:val="16"/>
              </w:rPr>
              <w:t xml:space="preserve">ES</w:t>
            </w:r>
            <w:r>
              <w:rPr>
                <w:rFonts w:cs="Times New Roman" w:hAnsi="Times New Roman" w:eastAsia="Times New Roman" w:ascii="Times New Roman"/>
                <w:b w:val="1"/>
                <w:sz w:val="16"/>
              </w:rPr>
              <w:t xml:space="preserve"> </w:t>
            </w:r>
          </w:p>
        </w:tc>
        <w:tc>
          <w:tcPr>
            <w:tcW w:w="1815" w:type="dxa"/>
            <w:gridSpan w:val="4"/>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firstLine="0"/>
              <w:jc w:val="center"/>
            </w:pPr>
            <w:r>
              <w:rPr>
                <w:rFonts w:cs="Times New Roman" w:hAnsi="Times New Roman" w:eastAsia="Times New Roman" w:ascii="Times New Roman"/>
                <w:b w:val="1"/>
                <w:sz w:val="16"/>
              </w:rPr>
              <w:t xml:space="preserve">CADRE CHRONOLOGIQUE</w:t>
            </w:r>
            <w:r>
              <w:rPr>
                <w:rFonts w:cs="Times New Roman" w:hAnsi="Times New Roman" w:eastAsia="Times New Roman" w:ascii="Times New Roman"/>
                <w:b w:val="1"/>
                <w:sz w:val="16"/>
              </w:rPr>
              <w:t xml:space="preserve"> </w:t>
            </w:r>
          </w:p>
        </w:tc>
        <w:tc>
          <w:tcPr>
            <w:tcW w:w="1369"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 w:firstLine="0"/>
              <w:jc w:val="left"/>
            </w:pPr>
            <w:r>
              <w:rPr>
                <w:rFonts w:cs="Times New Roman" w:hAnsi="Times New Roman" w:eastAsia="Times New Roman" w:ascii="Times New Roman"/>
                <w:b w:val="1"/>
                <w:sz w:val="16"/>
              </w:rPr>
              <w:t xml:space="preserve"> </w:t>
            </w:r>
          </w:p>
          <w:p>
            <w:pPr>
              <w:spacing w:before="0" w:after="0" w:line="259" w:lineRule="auto"/>
              <w:ind w:left="0" w:firstLine="0"/>
              <w:jc w:val="center"/>
            </w:pPr>
            <w:r>
              <w:rPr>
                <w:rFonts w:cs="Times New Roman" w:hAnsi="Times New Roman" w:eastAsia="Times New Roman" w:ascii="Times New Roman"/>
                <w:b w:val="1"/>
                <w:sz w:val="16"/>
              </w:rPr>
              <w:t xml:space="preserve">FREQUENCE/</w:t>
            </w:r>
            <w:r>
              <w:rPr>
                <w:rFonts w:cs="Times New Roman" w:hAnsi="Times New Roman" w:eastAsia="Times New Roman" w:ascii="Times New Roman"/>
                <w:b w:val="1"/>
                <w:sz w:val="16"/>
              </w:rPr>
              <w:t xml:space="preserve"> </w:t>
            </w:r>
            <w:r>
              <w:rPr>
                <w:rFonts w:cs="Times New Roman" w:hAnsi="Times New Roman" w:eastAsia="Times New Roman" w:ascii="Times New Roman"/>
                <w:b w:val="1"/>
                <w:sz w:val="16"/>
              </w:rPr>
              <w:t xml:space="preserve">DEADLINE</w:t>
            </w:r>
            <w:r>
              <w:rPr>
                <w:rFonts w:cs="Times New Roman" w:hAnsi="Times New Roman" w:eastAsia="Times New Roman" w:ascii="Times New Roman"/>
                <w:b w:val="1"/>
                <w:sz w:val="16"/>
              </w:rPr>
              <w:t xml:space="preserve"> </w:t>
            </w:r>
          </w:p>
        </w:tc>
      </w:tr>
      <w:tr>
        <w:trPr>
          <w:trHeight w:val="19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51"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 w:firstLine="0"/>
              <w:jc w:val="left"/>
            </w:pPr>
            <w:r>
              <w:rPr>
                <w:rFonts w:cs="Times New Roman" w:hAnsi="Times New Roman" w:eastAsia="Times New Roman" w:ascii="Times New Roman"/>
                <w:b w:val="1"/>
                <w:sz w:val="16"/>
              </w:rPr>
              <w:t xml:space="preserve">T1</w:t>
            </w:r>
            <w:r>
              <w:rPr>
                <w:rFonts w:cs="Times New Roman" w:hAnsi="Times New Roman" w:eastAsia="Times New Roman" w:ascii="Times New Roman"/>
                <w:b w:val="1"/>
                <w:sz w:val="16"/>
              </w:rPr>
              <w:t xml:space="preserve"> </w:t>
            </w:r>
          </w:p>
        </w:tc>
        <w:tc>
          <w:tcPr>
            <w:tcW w:w="452"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 w:firstLine="0"/>
              <w:jc w:val="left"/>
            </w:pPr>
            <w:r>
              <w:rPr>
                <w:rFonts w:cs="Times New Roman" w:hAnsi="Times New Roman" w:eastAsia="Times New Roman" w:ascii="Times New Roman"/>
                <w:b w:val="1"/>
                <w:sz w:val="16"/>
              </w:rPr>
              <w:t xml:space="preserve">T2</w:t>
            </w:r>
            <w:r>
              <w:rPr>
                <w:rFonts w:cs="Times New Roman" w:hAnsi="Times New Roman" w:eastAsia="Times New Roman" w:ascii="Times New Roman"/>
                <w:b w:val="1"/>
                <w:sz w:val="16"/>
              </w:rPr>
              <w:t xml:space="preserve"> </w:t>
            </w:r>
          </w:p>
        </w:tc>
        <w:tc>
          <w:tcPr>
            <w:tcW w:w="449"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 w:firstLine="0"/>
              <w:jc w:val="left"/>
            </w:pPr>
            <w:r>
              <w:rPr>
                <w:rFonts w:cs="Times New Roman" w:hAnsi="Times New Roman" w:eastAsia="Times New Roman" w:ascii="Times New Roman"/>
                <w:b w:val="1"/>
                <w:sz w:val="16"/>
              </w:rPr>
              <w:t xml:space="preserve">T3</w:t>
            </w:r>
            <w:r>
              <w:rPr>
                <w:rFonts w:cs="Times New Roman" w:hAnsi="Times New Roman" w:eastAsia="Times New Roman" w:ascii="Times New Roman"/>
                <w:b w:val="1"/>
                <w:sz w:val="16"/>
              </w:rPr>
              <w:t xml:space="preserve"> </w:t>
            </w:r>
          </w:p>
        </w:tc>
        <w:tc>
          <w:tcPr>
            <w:tcW w:w="463"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1" w:firstLine="0"/>
              <w:jc w:val="left"/>
            </w:pPr>
            <w:r>
              <w:rPr>
                <w:rFonts w:cs="Times New Roman" w:hAnsi="Times New Roman" w:eastAsia="Times New Roman" w:ascii="Times New Roman"/>
                <w:b w:val="1"/>
                <w:sz w:val="16"/>
              </w:rPr>
              <w:t xml:space="preserve">T4</w:t>
            </w:r>
            <w:r>
              <w:rPr>
                <w:rFonts w:cs="Times New Roman" w:hAnsi="Times New Roman" w:eastAsia="Times New Roman" w:ascii="Times New Roman"/>
                <w:b w:val="1"/>
                <w:sz w:val="16"/>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517"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Mise à jour du site web du PNUD/BF </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left"/>
            </w:pPr>
            <w:r>
              <w:rPr/>
              <w:t xml:space="preserve">Site internet du </w:t>
            </w:r>
          </w:p>
          <w:p>
            <w:pPr>
              <w:spacing w:before="0" w:after="0" w:line="259" w:lineRule="auto"/>
              <w:ind w:left="2" w:firstLine="0"/>
              <w:jc w:val="left"/>
            </w:pPr>
            <w:r>
              <w:rPr/>
              <w:t xml:space="preserve">PNUD/BF</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Large public</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Webmaster</w:t>
            </w: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Tous trimestres</w:t>
            </w:r>
            <w:r>
              <w:rPr>
                <w:sz w:val="24"/>
              </w:rPr>
              <w:t xml:space="preserve"> </w:t>
            </w:r>
          </w:p>
        </w:tc>
      </w:tr>
      <w:tr>
        <w:trPr>
          <w:trHeight w:val="1529"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right="19" w:firstLine="0"/>
              <w:jc w:val="left"/>
            </w:pPr>
            <w:r>
              <w:rPr/>
              <w:t xml:space="preserve">Contribution de l‟équipe EE à l‟édition et à la distribution du bulletin d‟information périodique PNUD</w:t>
            </w:r>
            <w:r>
              <w:rPr/>
              <w:t xml:space="preserve"/>
            </w:r>
            <w:r>
              <w:rPr/>
              <w:t xml:space="preserve">KIBAI</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4" w:line="234" w:lineRule="auto"/>
              <w:ind w:left="2" w:firstLine="0"/>
              <w:jc w:val="left"/>
            </w:pPr>
            <w:r>
              <w:rPr/>
              <w:t xml:space="preserve">Bulletin d‟information périodique </w:t>
            </w:r>
            <w:r>
              <w:rPr>
                <w:sz w:val="24"/>
              </w:rPr>
              <w:t xml:space="preserve"> </w:t>
            </w:r>
          </w:p>
          <w:p>
            <w:pPr>
              <w:spacing w:before="0" w:after="0" w:line="259" w:lineRule="auto"/>
              <w:ind w:left="2" w:firstLine="0"/>
              <w:jc w:val="left"/>
            </w:pPr>
            <w:r>
              <w:rPr/>
              <w:t xml:space="preserve">PNUD</w:t>
            </w:r>
            <w:r>
              <w:rPr/>
              <w:t xml:space="preserve">-</w:t>
            </w:r>
            <w:r>
              <w:rPr/>
              <w:t xml:space="preserve">KIBAI</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Large public</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Coordonnat</w:t>
            </w:r>
          </w:p>
          <w:p>
            <w:pPr>
              <w:spacing w:before="0" w:after="0" w:line="259" w:lineRule="auto"/>
              <w:ind w:left="1" w:firstLine="0"/>
              <w:jc w:val="left"/>
            </w:pPr>
            <w:r>
              <w:rPr/>
              <w:t xml:space="preserve">eur</w:t>
            </w: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X</w:t>
            </w: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X</w:t>
            </w: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X</w:t>
            </w: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X</w:t>
            </w: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Tous les mois</w:t>
            </w:r>
            <w:r>
              <w:rPr>
                <w:sz w:val="24"/>
              </w:rPr>
              <w:t xml:space="preserve"> </w:t>
            </w:r>
          </w:p>
        </w:tc>
      </w:tr>
      <w:tr>
        <w:trPr>
          <w:trHeight w:val="1529"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left"/>
            </w:pPr>
            <w:r>
              <w:rPr/>
              <w:t xml:space="preserve">Distribution de gadgets avec des «</w:t>
            </w:r>
            <w:r>
              <w:rPr/>
              <w:t xml:space="preserve"> </w:t>
            </w:r>
            <w:r>
              <w:rPr/>
              <w:t xml:space="preserve">messages clés</w:t>
            </w:r>
            <w:r>
              <w:rPr/>
              <w:t xml:space="preserve"> </w:t>
            </w:r>
            <w:r>
              <w:rPr/>
              <w:t xml:space="preserve">» lors d‟événements d‟intérêt (Séminaires, réunions, spectacles, etc…)</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0" w:line="259" w:lineRule="auto"/>
              <w:ind w:left="2" w:right="19" w:firstLine="0"/>
              <w:jc w:val="left"/>
            </w:pPr>
            <w:r>
              <w:rPr/>
              <w:t xml:space="preserve">Gadget</w:t>
            </w:r>
            <w:r>
              <w:rPr/>
              <w:t xml:space="preserve"> ; </w:t>
            </w:r>
            <w:r>
              <w:rPr/>
              <w:t xml:space="preserve">casquettes, T</w:t>
            </w:r>
            <w:r>
              <w:rPr/>
              <w:t xml:space="preserve"/>
            </w:r>
            <w:r>
              <w:rPr/>
              <w:t xml:space="preserve">shirt, stylos, affiches, calendriers, etc…</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Partenaire</w:t>
            </w:r>
          </w:p>
          <w:p>
            <w:pPr>
              <w:spacing w:before="0" w:after="18" w:line="237" w:lineRule="auto"/>
              <w:ind w:left="1" w:firstLine="0"/>
              <w:jc w:val="left"/>
            </w:pPr>
            <w:r>
              <w:rPr/>
              <w:t xml:space="preserve">s institution nel du </w:t>
            </w:r>
          </w:p>
          <w:p>
            <w:pPr>
              <w:spacing w:before="0" w:after="0" w:line="259" w:lineRule="auto"/>
              <w:ind w:left="1" w:firstLine="0"/>
              <w:jc w:val="left"/>
            </w:pPr>
            <w:r>
              <w:rPr/>
              <w:t xml:space="preserve">PNUD</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p>
            <w:pPr>
              <w:spacing w:before="0" w:after="0" w:line="259" w:lineRule="auto"/>
              <w:ind w:left="1" w:firstLine="0"/>
              <w:jc w:val="left"/>
            </w:pPr>
            <w:r>
              <w:rPr/>
              <w:t xml:space="preserve">Selon événements</w:t>
            </w:r>
            <w:r>
              <w:rPr>
                <w:sz w:val="24"/>
              </w:rPr>
              <w:t xml:space="preserve"> </w:t>
            </w:r>
          </w:p>
        </w:tc>
      </w:tr>
      <w:tr>
        <w:trPr>
          <w:trHeight w:val="1020"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Publication (ou contribution) de revue scientifiques et techniques</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left"/>
            </w:pPr>
            <w:r>
              <w:rPr/>
              <w:t xml:space="preserve">Publications techniques et scientifiques</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right="8" w:firstLine="0"/>
              <w:jc w:val="left"/>
            </w:pPr>
            <w:r>
              <w:rPr/>
              <w:t xml:space="preserve">Practitione r groups</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Programme </w:t>
            </w:r>
          </w:p>
          <w:p>
            <w:pPr>
              <w:spacing w:before="0" w:after="0" w:line="259" w:lineRule="auto"/>
              <w:ind w:left="1" w:firstLine="0"/>
              <w:jc w:val="left"/>
            </w:pPr>
            <w:r>
              <w:rPr/>
              <w:t xml:space="preserve">specialist</w:t>
            </w: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Au besoin</w:t>
            </w:r>
            <w:r>
              <w:rPr>
                <w:sz w:val="24"/>
              </w:rPr>
              <w:t xml:space="preserve"> </w:t>
            </w:r>
          </w:p>
        </w:tc>
      </w:tr>
      <w:tr>
        <w:trPr>
          <w:trHeight w:val="1277"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Distribution de brochures sur les projets du sous</w:t>
            </w:r>
            <w:r>
              <w:rPr/>
              <w:t xml:space="preserve">-</w:t>
            </w:r>
            <w:r>
              <w:rPr/>
              <w:t xml:space="preserve">programme environnement</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0" w:line="259" w:lineRule="auto"/>
              <w:ind w:left="2" w:firstLine="0"/>
              <w:jc w:val="left"/>
            </w:pPr>
            <w:r>
              <w:rPr/>
              <w:t xml:space="preserve">Kit de brochures sur les projets d‟environnement</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Partenaire</w:t>
            </w:r>
          </w:p>
          <w:p>
            <w:pPr>
              <w:spacing w:before="0" w:after="2" w:line="236" w:lineRule="auto"/>
              <w:ind w:left="1" w:firstLine="0"/>
              <w:jc w:val="left"/>
            </w:pPr>
            <w:r>
              <w:rPr/>
              <w:t xml:space="preserve">s institution</w:t>
            </w:r>
          </w:p>
          <w:p>
            <w:pPr>
              <w:spacing w:before="0" w:after="0" w:line="259" w:lineRule="auto"/>
              <w:ind w:left="1" w:firstLine="0"/>
              <w:jc w:val="left"/>
            </w:pPr>
            <w:r>
              <w:rPr/>
              <w:t xml:space="preserve">nel du </w:t>
            </w:r>
          </w:p>
          <w:p>
            <w:pPr>
              <w:spacing w:before="0" w:after="0" w:line="259" w:lineRule="auto"/>
              <w:ind w:left="1" w:firstLine="0"/>
              <w:jc w:val="left"/>
            </w:pPr>
            <w:r>
              <w:rPr/>
              <w:t xml:space="preserve">PNUD</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Chargé de programme</w:t>
            </w: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En début de la 3</w:t>
            </w:r>
            <w:r>
              <w:rPr>
                <w:vertAlign w:val="superscript"/>
              </w:rPr>
              <w:t xml:space="preserve">ème</w:t>
            </w:r>
            <w:r>
              <w:rPr/>
              <w:t xml:space="preserve"> </w:t>
            </w:r>
            <w:r>
              <w:rPr/>
              <w:t xml:space="preserve">année du sous</w:t>
            </w:r>
            <w:r>
              <w:rPr/>
              <w:t xml:space="preserve"/>
            </w:r>
            <w:r>
              <w:rPr/>
              <w:t xml:space="preserve">programme</w:t>
            </w:r>
            <w:r>
              <w:rPr>
                <w:sz w:val="24"/>
              </w:rPr>
              <w:t xml:space="preserve"> </w:t>
            </w:r>
          </w:p>
        </w:tc>
      </w:tr>
      <w:tr>
        <w:trPr>
          <w:trHeight w:val="1275"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Production et diffusion de films documentaire</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0" w:line="259" w:lineRule="auto"/>
              <w:ind w:left="2" w:right="23" w:firstLine="0"/>
              <w:jc w:val="left"/>
            </w:pPr>
            <w:r>
              <w:rPr/>
              <w:t xml:space="preserve">Film documentaire de 15 à 30mn</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Large public</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Chargés de programme</w:t>
            </w: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Un film au moins durant le cycle du sous</w:t>
            </w:r>
            <w:r>
              <w:rPr/>
              <w:t xml:space="preserve"/>
            </w:r>
            <w:r>
              <w:rPr/>
              <w:t xml:space="preserve">programme</w:t>
            </w:r>
            <w:r>
              <w:rPr>
                <w:sz w:val="24"/>
              </w:rPr>
              <w:t xml:space="preserve"> </w:t>
            </w:r>
          </w:p>
        </w:tc>
      </w:tr>
      <w:tr>
        <w:trPr>
          <w:trHeight w:val="768" w:hRule="atLeast"/>
        </w:trPr>
        <w:tc>
          <w:tcPr>
            <w:tcW w:w="239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Interviews</w:t>
            </w:r>
            <w:r>
              <w:rPr>
                <w:sz w:val="24"/>
              </w:rPr>
              <w:t xml:space="preserve"> </w:t>
            </w:r>
          </w:p>
        </w:tc>
        <w:tc>
          <w:tcPr>
            <w:tcW w:w="1851" w:type="dxa"/>
            <w:tcBorders>
              <w:top w:val="single" w:sz="4" w:color="000000"/>
              <w:left w:val="single" w:sz="4" w:color="000000"/>
              <w:bottom w:val="single" w:sz="4" w:color="000000"/>
              <w:right w:val="single" w:sz="4" w:color="000000"/>
            </w:tcBorders>
            <w:vAlign w:val="top"/>
          </w:tcPr>
          <w:p>
            <w:pPr>
              <w:spacing w:before="0" w:after="0" w:line="259" w:lineRule="auto"/>
              <w:ind w:left="2" w:right="122" w:firstLine="0"/>
            </w:pPr>
            <w:r>
              <w:rPr/>
              <w:t xml:space="preserve">Télévision, radio et presse écrite de référence</w:t>
            </w:r>
            <w:r>
              <w:rPr>
                <w:sz w:val="24"/>
              </w:rPr>
              <w:t xml:space="preserve"> </w:t>
            </w:r>
          </w:p>
        </w:tc>
        <w:tc>
          <w:tcPr>
            <w:tcW w:w="119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t xml:space="preserve">Large public</w:t>
            </w:r>
            <w:r>
              <w:rPr>
                <w:sz w:val="24"/>
              </w:rPr>
              <w:t xml:space="preserve"> </w:t>
            </w:r>
          </w:p>
        </w:tc>
        <w:tc>
          <w:tcPr>
            <w:tcW w:w="134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1"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5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49"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463"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left"/>
            </w:pPr>
            <w:r>
              <w:rPr>
                <w:sz w:val="24"/>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32" w:line="259" w:lineRule="auto"/>
              <w:ind w:left="1" w:firstLine="0"/>
              <w:jc w:val="left"/>
            </w:pPr>
            <w:r>
              <w:rPr/>
              <w:t xml:space="preserve">Au moins 3 </w:t>
            </w:r>
          </w:p>
          <w:p>
            <w:pPr>
              <w:spacing w:before="0" w:after="0" w:line="259" w:lineRule="auto"/>
              <w:ind w:left="1" w:firstLine="0"/>
              <w:jc w:val="left"/>
            </w:pPr>
            <w:r>
              <w:rPr/>
              <w:t xml:space="preserve">fois l‟an</w:t>
            </w:r>
            <w:r>
              <w:rPr>
                <w:sz w:val="24"/>
              </w:rPr>
              <w:t xml:space="preserve"> </w:t>
            </w:r>
          </w:p>
        </w:tc>
      </w:tr>
    </w:tbl>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0" w:line="259" w:lineRule="auto"/>
        <w:ind w:left="360" w:firstLine="0"/>
        <w:jc w:val="left"/>
      </w:pPr>
      <w:r>
        <w:rPr>
          <w:rFonts w:cs="Times New Roman" w:hAnsi="Times New Roman" w:eastAsia="Times New Roman" w:ascii="Times New Roman"/>
          <w:b w:val="1"/>
          <w:sz w:val="24"/>
        </w:rPr>
        <w:t xml:space="preserve"> </w:t>
      </w:r>
    </w:p>
    <w:p>
      <w:pPr>
        <w:spacing w:before="0" w:after="17" w:line="259" w:lineRule="auto"/>
        <w:ind w:left="360" w:firstLine="0"/>
        <w:jc w:val="left"/>
      </w:pPr>
      <w:r>
        <w:rPr>
          <w:rFonts w:cs="Times New Roman" w:hAnsi="Times New Roman" w:eastAsia="Times New Roman" w:ascii="Times New Roman"/>
          <w:b w:val="1"/>
          <w:sz w:val="24"/>
        </w:rPr>
        <w:t xml:space="preserve"> </w:t>
      </w:r>
    </w:p>
    <w:p>
      <w:pPr>
        <w:pStyle w:val="heading3"/>
        <w:spacing w:before="0" w:after="15" w:line="248" w:lineRule="auto"/>
        <w:ind w:left="370" w:right="0"/>
      </w:pPr>
      <w:r>
        <w:rPr/>
        <w:t xml:space="preserve">Annexe 6</w:t>
      </w:r>
      <w:r>
        <w:rPr/>
        <w:t xml:space="preserve"> </w:t>
      </w:r>
      <w:r>
        <w:rPr/>
        <w:t xml:space="preserve">:</w:t>
      </w:r>
      <w:r>
        <w:rPr>
          <w:rFonts w:cs="Times New Roman" w:hAnsi="Times New Roman" w:eastAsia="Times New Roman" w:ascii="Times New Roman"/>
          <w:b w:val="0"/>
        </w:rPr>
        <w:t xml:space="preserve"> </w:t>
      </w:r>
      <w:r>
        <w:rPr>
          <w:sz w:val="22"/>
        </w:rPr>
        <w:t xml:space="preserve">TERMES DE</w:t>
      </w:r>
      <w:r>
        <w:rPr>
          <w:sz w:val="22"/>
        </w:rPr>
        <w:t xml:space="preserve"> </w:t>
      </w:r>
      <w:r>
        <w:rPr>
          <w:sz w:val="22"/>
        </w:rPr>
        <w:t xml:space="preserve">REFERENCES DU PERSONNEL DE L’UNITE DE COORDINATION</w:t>
      </w:r>
      <w:r>
        <w:rPr>
          <w:sz w:val="22"/>
        </w:rPr>
        <w:t xml:space="preserve"> </w:t>
      </w:r>
      <w:r>
        <w:rPr>
          <w:sz w:val="22"/>
        </w:rPr>
        <w:t xml:space="preserve">COORDONNATRICE/TEUR </w:t>
      </w:r>
      <w:r>
        <w:rPr>
          <w:sz w:val="22"/>
        </w:rPr>
        <w:t xml:space="preserve"> </w:t>
      </w:r>
    </w:p>
    <w:p>
      <w:pPr>
        <w:spacing w:before="0" w:after="0" w:line="259" w:lineRule="auto"/>
        <w:ind w:left="41" w:firstLine="0"/>
        <w:jc w:val="center"/>
      </w:pPr>
      <w:r>
        <w:rPr>
          <w:rFonts w:cs="Arial" w:hAnsi="Arial" w:eastAsia="Arial" w:ascii="Arial"/>
          <w:sz w:val="18"/>
        </w:rPr>
        <w:t xml:space="preserve"> </w:t>
      </w:r>
    </w:p>
    <w:tbl>
      <w:tblPr>
        <w:tblStyle w:val="TableGrid"/>
        <w:tblW w:w="4313" w:type="dxa"/>
        <w:tblInd w:w="0" w:type="dxa"/>
        <w:tblCellMar>
          <w:top w:w="0" w:type="dxa"/>
          <w:left w:w="0" w:type="dxa"/>
          <w:bottom w:w="0" w:type="dxa"/>
          <w:right w:w="0" w:type="dxa"/>
        </w:tblCellMar>
      </w:tblPr>
      <w:tblGrid>
        <w:gridCol w:w="2124"/>
        <w:gridCol w:w="709"/>
        <w:gridCol w:w="1480"/>
      </w:tblGrid>
      <w:tr>
        <w:trPr>
          <w:trHeight w:val="272" w:hRule="atLeast"/>
        </w:trPr>
        <w:tc>
          <w:tcPr>
            <w:tcW w:w="2124" w:type="dxa"/>
            <w:tcBorders>
              <w:top w:val="nil"/>
              <w:left w:val="nil"/>
              <w:bottom w:val="nil"/>
              <w:right w:val="nil"/>
            </w:tcBorders>
            <w:vAlign w:val="top"/>
          </w:tcPr>
          <w:p>
            <w:pPr>
              <w:spacing w:before="0" w:after="0" w:line="259" w:lineRule="auto"/>
              <w:ind w:left="0" w:firstLine="0"/>
              <w:jc w:val="left"/>
            </w:pPr>
            <w:r>
              <w:rPr>
                <w:sz w:val="24"/>
              </w:rPr>
              <w:t xml:space="preserve"> </w:t>
            </w:r>
          </w:p>
        </w:tc>
        <w:tc>
          <w:tcPr>
            <w:tcW w:w="709" w:type="dxa"/>
            <w:tcBorders>
              <w:top w:val="nil"/>
              <w:left w:val="nil"/>
              <w:bottom w:val="nil"/>
              <w:right w:val="nil"/>
            </w:tcBorders>
            <w:vAlign w:val="top"/>
          </w:tcPr>
          <w:p>
            <w:pPr>
              <w:bidi w:val="0"/>
              <w:spacing w:before="0" w:after="160" w:line="259" w:lineRule="auto"/>
              <w:ind w:left="0" w:right="0" w:firstLine="0"/>
              <w:jc w:val="left"/>
            </w:pPr>
          </w:p>
        </w:tc>
        <w:tc>
          <w:tcPr>
            <w:tcW w:w="1480" w:type="dxa"/>
            <w:tcBorders>
              <w:top w:val="nil"/>
              <w:left w:val="nil"/>
              <w:bottom w:val="nil"/>
              <w:right w:val="nil"/>
            </w:tcBorders>
            <w:vAlign w:val="top"/>
          </w:tcPr>
          <w:p>
            <w:pPr>
              <w:bidi w:val="0"/>
              <w:spacing w:before="0" w:after="160" w:line="259" w:lineRule="auto"/>
              <w:ind w:left="0" w:right="0" w:firstLine="0"/>
              <w:jc w:val="left"/>
            </w:pPr>
          </w:p>
        </w:tc>
      </w:tr>
      <w:tr>
        <w:trPr>
          <w:trHeight w:val="210"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Lieu d’affectation</w:t>
            </w:r>
            <w:r>
              <w:rPr>
                <w:rFonts w:cs="Arial" w:hAnsi="Arial" w:eastAsia="Arial" w:ascii="Arial"/>
                <w:sz w:val="18"/>
              </w:rPr>
              <w:t xml:space="preserve">  </w:t>
            </w:r>
          </w:p>
        </w:tc>
        <w:tc>
          <w:tcPr>
            <w:tcW w:w="709"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1480"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Ouagadougou</w:t>
            </w:r>
            <w:r>
              <w:rPr>
                <w:rFonts w:cs="Arial" w:hAnsi="Arial" w:eastAsia="Arial" w:ascii="Arial"/>
                <w:sz w:val="18"/>
              </w:rPr>
              <w:t xml:space="preserve"> </w:t>
            </w:r>
          </w:p>
        </w:tc>
      </w:tr>
      <w:tr>
        <w:trPr>
          <w:trHeight w:val="206"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Durée de l’engagement</w:t>
            </w:r>
            <w:r>
              <w:rPr>
                <w:rFonts w:cs="Arial" w:hAnsi="Arial" w:eastAsia="Arial" w:ascii="Arial"/>
                <w:sz w:val="18"/>
              </w:rPr>
              <w:t xml:space="preserve"> </w:t>
            </w:r>
          </w:p>
        </w:tc>
        <w:tc>
          <w:tcPr>
            <w:tcW w:w="709"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r>
              <w:rPr>
                <w:rFonts w:cs="Arial" w:hAnsi="Arial" w:eastAsia="Arial" w:ascii="Arial"/>
                <w:sz w:val="18"/>
              </w:rPr>
              <w:t xml:space="preserve"> </w:t>
            </w:r>
          </w:p>
        </w:tc>
        <w:tc>
          <w:tcPr>
            <w:tcW w:w="1480" w:type="dxa"/>
            <w:tcBorders>
              <w:top w:val="nil"/>
              <w:left w:val="nil"/>
              <w:bottom w:val="nil"/>
              <w:right w:val="nil"/>
            </w:tcBorders>
            <w:vAlign w:val="top"/>
          </w:tcPr>
          <w:p>
            <w:pPr>
              <w:spacing w:before="0" w:after="0" w:line="259" w:lineRule="auto"/>
              <w:ind w:left="0" w:firstLine="0"/>
            </w:pPr>
            <w:r>
              <w:rPr>
                <w:rFonts w:cs="Arial" w:hAnsi="Arial" w:eastAsia="Arial" w:ascii="Arial"/>
                <w:sz w:val="18"/>
              </w:rPr>
              <w:t xml:space="preserve">1 an renouvelable</w:t>
            </w:r>
            <w:r>
              <w:rPr>
                <w:rFonts w:cs="Arial" w:hAnsi="Arial" w:eastAsia="Arial" w:ascii="Arial"/>
                <w:sz w:val="18"/>
              </w:rPr>
              <w:t xml:space="preserve"> </w:t>
            </w:r>
          </w:p>
        </w:tc>
      </w:tr>
      <w:tr>
        <w:trPr>
          <w:trHeight w:val="203" w:hRule="atLeast"/>
        </w:trPr>
        <w:tc>
          <w:tcPr>
            <w:tcW w:w="2124" w:type="dxa"/>
            <w:tcBorders>
              <w:top w:val="nil"/>
              <w:left w:val="nil"/>
              <w:bottom w:val="nil"/>
              <w:right w:val="nil"/>
            </w:tcBorders>
            <w:vAlign w:val="top"/>
          </w:tcPr>
          <w:p>
            <w:pPr>
              <w:tabs>
                <w:tab w:val="center" w:pos="1416"/>
              </w:tabs>
              <w:spacing w:before="0" w:after="0" w:line="259" w:lineRule="auto"/>
              <w:ind w:left="0" w:firstLine="0"/>
              <w:jc w:val="left"/>
            </w:pPr>
            <w:r>
              <w:rPr>
                <w:rFonts w:cs="Arial" w:hAnsi="Arial" w:eastAsia="Arial" w:ascii="Arial"/>
                <w:sz w:val="18"/>
              </w:rPr>
              <w:t xml:space="preserve">Date de début</w:t>
            </w:r>
            <w:r>
              <w:rPr>
                <w:rFonts w:cs="Arial" w:hAnsi="Arial" w:eastAsia="Arial" w:ascii="Arial"/>
                <w:sz w:val="18"/>
              </w:rPr>
              <w:t xml:space="preserve"> 	 </w:t>
            </w:r>
          </w:p>
        </w:tc>
        <w:tc>
          <w:tcPr>
            <w:tcW w:w="709"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r>
              <w:rPr>
                <w:rFonts w:cs="Arial" w:hAnsi="Arial" w:eastAsia="Arial" w:ascii="Arial"/>
                <w:sz w:val="18"/>
              </w:rPr>
              <w:t xml:space="preserve"> </w:t>
            </w:r>
          </w:p>
        </w:tc>
        <w:tc>
          <w:tcPr>
            <w:tcW w:w="1480"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Novembre</w:t>
            </w:r>
            <w:r>
              <w:rPr>
                <w:rFonts w:cs="Arial" w:hAnsi="Arial" w:eastAsia="Arial" w:ascii="Arial"/>
                <w:sz w:val="18"/>
              </w:rPr>
              <w:t xml:space="preserve"> </w:t>
            </w:r>
            <w:r>
              <w:rPr>
                <w:rFonts w:cs="Arial" w:hAnsi="Arial" w:eastAsia="Arial" w:ascii="Arial"/>
                <w:sz w:val="18"/>
              </w:rPr>
              <w:t xml:space="preserve">2011</w:t>
            </w:r>
            <w:r>
              <w:rPr>
                <w:rFonts w:cs="Arial" w:hAnsi="Arial" w:eastAsia="Arial" w:ascii="Arial"/>
                <w:sz w:val="18"/>
              </w:rPr>
              <w:t xml:space="preserve"> </w:t>
            </w:r>
          </w:p>
        </w:tc>
      </w:tr>
    </w:tbl>
    <w:p>
      <w:pPr>
        <w:spacing w:before="0" w:after="0" w:line="259" w:lineRule="auto"/>
        <w:ind w:left="0" w:firstLine="0"/>
        <w:jc w:val="left"/>
      </w:pPr>
      <w:r>
        <w:rPr>
          <w:rFonts w:cs="Arial" w:hAnsi="Arial" w:eastAsia="Arial" w:ascii="Arial"/>
          <w:sz w:val="18"/>
        </w:rPr>
        <w:t xml:space="preserve"> </w:t>
      </w:r>
    </w:p>
    <w:p>
      <w:pPr>
        <w:pStyle w:val="heading4"/>
        <w:spacing w:before="0" w:after="3" w:line="259" w:lineRule="auto"/>
        <w:ind w:left="-5"/>
      </w:pPr>
      <w:r>
        <w:rPr>
          <w:rFonts w:cs="Arial" w:hAnsi="Arial" w:eastAsia="Arial" w:ascii="Arial"/>
          <w:sz w:val="18"/>
        </w:rPr>
        <w:t xml:space="preserve">CONTEXTE</w:t>
      </w:r>
      <w:r>
        <w:rPr>
          <w:rFonts w:cs="Arial" w:hAnsi="Arial" w:eastAsia="Arial" w:ascii="Arial"/>
          <w:sz w:val="18"/>
          <w:u w:val="none" w:color="000000"/>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Le  projet de Consolidation de la Gouvernance Environnementale Locale est conçu dans le cadre de l’UNDAF, du CPD et du CPAP 2011</w:t>
      </w:r>
      <w:r>
        <w:rPr>
          <w:rFonts w:cs="Arial" w:hAnsi="Arial" w:eastAsia="Arial" w:ascii="Arial"/>
          <w:sz w:val="18"/>
        </w:rPr>
        <w:t xml:space="preserve">-</w:t>
      </w:r>
      <w:r>
        <w:rPr>
          <w:rFonts w:cs="Arial" w:hAnsi="Arial" w:eastAsia="Arial" w:ascii="Arial"/>
          <w:sz w:val="18"/>
        </w:rPr>
        <w:t xml:space="preserve">2015, et vient en appui à la mise en œuvre à la SCADD qui est l’instrument principal de la planification du développement économique et social du Gouvernement du Burkina Faso.</w:t>
      </w:r>
      <w:r>
        <w:rPr>
          <w:rFonts w:cs="Arial" w:hAnsi="Arial" w:eastAsia="Arial" w:ascii="Arial"/>
          <w:sz w:val="18"/>
        </w:rPr>
        <w:t xml:space="preserve"> </w:t>
      </w:r>
    </w:p>
    <w:p>
      <w:pPr>
        <w:spacing w:before="0" w:after="5"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Les deux principaux effets recherchés de ce sous programme sont que d’ici 2015, «</w:t>
      </w:r>
      <w:r>
        <w:rPr>
          <w:rFonts w:cs="Arial" w:hAnsi="Arial" w:eastAsia="Arial" w:ascii="Arial"/>
          <w:sz w:val="18"/>
        </w:rPr>
        <w:t xml:space="preserve"> </w:t>
      </w:r>
      <w:r>
        <w:rPr>
          <w:rFonts w:cs="Arial" w:hAnsi="Arial" w:eastAsia="Arial" w:ascii="Arial"/>
          <w:sz w:val="18"/>
        </w:rPr>
        <w:t xml:space="preserve">les structures nationales sont mieux outillées pour formuler, mettre en œuvre et suivre des politiques et programmes sectoriels en cohérence avec la SCADD et les OMD y compris les défis démographiques</w:t>
      </w:r>
      <w:r>
        <w:rPr>
          <w:rFonts w:cs="Arial" w:hAnsi="Arial" w:eastAsia="Arial" w:ascii="Arial"/>
          <w:sz w:val="18"/>
        </w:rPr>
        <w:t xml:space="preserve"> », </w:t>
      </w:r>
      <w:r>
        <w:rPr>
          <w:rFonts w:cs="Arial" w:hAnsi="Arial" w:eastAsia="Arial" w:ascii="Arial"/>
          <w:sz w:val="18"/>
        </w:rPr>
        <w:t xml:space="preserve">et que «</w:t>
      </w:r>
      <w:r>
        <w:rPr>
          <w:rFonts w:cs="Arial" w:hAnsi="Arial" w:eastAsia="Arial" w:ascii="Arial"/>
          <w:sz w:val="18"/>
        </w:rPr>
        <w:t xml:space="preserve"> </w:t>
      </w:r>
      <w:r>
        <w:rPr>
          <w:rFonts w:cs="Arial" w:hAnsi="Arial" w:eastAsia="Arial" w:ascii="Arial"/>
          <w:sz w:val="18"/>
        </w:rPr>
        <w:t xml:space="preserve">les structures nationales et les communautés de base pratiquent une approche intégrée de développement durable et de gestion des ressources naturelles.</w:t>
      </w:r>
      <w:r>
        <w:rPr>
          <w:rFonts w:cs="Arial" w:hAnsi="Arial" w:eastAsia="Arial" w:ascii="Arial"/>
          <w:sz w:val="18"/>
        </w:rPr>
        <w:t xml:space="preserve"> ». </w:t>
      </w:r>
      <w:r>
        <w:rPr>
          <w:rFonts w:cs="Arial" w:hAnsi="Arial" w:eastAsia="Arial" w:ascii="Arial"/>
          <w:sz w:val="18"/>
        </w:rPr>
        <w:t xml:space="preserve">a) Les structures centrales sont outillées pour assurer la prise en compte des principes du DD dans la mise en œuvre de la SCADD et des plans locaux de développement; b) Les informations pertinentes sur l’état de l’environnement sont</w:t>
      </w:r>
      <w:r>
        <w:rPr>
          <w:rFonts w:cs="Arial" w:hAnsi="Arial" w:eastAsia="Arial" w:ascii="Arial"/>
          <w:sz w:val="18"/>
        </w:rPr>
        <w:t xml:space="preserve"> </w:t>
      </w:r>
      <w:r>
        <w:rPr>
          <w:rFonts w:cs="Arial" w:hAnsi="Arial" w:eastAsia="Arial" w:ascii="Arial"/>
          <w:sz w:val="18"/>
        </w:rPr>
        <w:t xml:space="preserve">disponibles et permettent d’assurer le suivi de la mise en œuvre des politiques environnementales au niveau décentralisé; c) Des plans locaux de développement  résilients aux changements climatiques et orientés vers une faible émission de GES et des chartes locales de gestion des RN sont adoptés; d) Les CT et les communautés ont accès aux sources de financement et aux technologies appropriés pour mettre en œuvre des plans locaux de développement  résilients aux changements climatiques et orientés vers une faible émission de GES.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7"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La stratégie de mise en œuvre du projet combine</w:t>
      </w:r>
      <w:r>
        <w:rPr>
          <w:rFonts w:cs="Arial" w:hAnsi="Arial" w:eastAsia="Arial" w:ascii="Arial"/>
          <w:sz w:val="18"/>
        </w:rPr>
        <w:t xml:space="preserve"> </w:t>
      </w:r>
      <w:r>
        <w:rPr>
          <w:rFonts w:cs="Arial" w:hAnsi="Arial" w:eastAsia="Arial" w:ascii="Arial"/>
          <w:sz w:val="18"/>
        </w:rPr>
        <w:t xml:space="preserve">; a) l’accompagnement d’un processus multi</w:t>
      </w:r>
      <w:r>
        <w:rPr>
          <w:rFonts w:cs="Arial" w:hAnsi="Arial" w:eastAsia="Arial" w:ascii="Arial"/>
          <w:sz w:val="18"/>
        </w:rPr>
        <w:t xml:space="preserve">-</w:t>
      </w:r>
      <w:r>
        <w:rPr>
          <w:rFonts w:cs="Arial" w:hAnsi="Arial" w:eastAsia="Arial" w:ascii="Arial"/>
          <w:sz w:val="18"/>
        </w:rPr>
        <w:t xml:space="preserve">acteurs</w:t>
      </w:r>
      <w:r>
        <w:rPr>
          <w:rFonts w:cs="Arial" w:hAnsi="Arial" w:eastAsia="Arial" w:ascii="Arial"/>
          <w:sz w:val="18"/>
        </w:rPr>
        <w:t xml:space="preserve"> </w:t>
      </w:r>
      <w:r>
        <w:rPr>
          <w:rFonts w:cs="Arial" w:hAnsi="Arial" w:eastAsia="Arial" w:ascii="Arial"/>
          <w:sz w:val="18"/>
        </w:rPr>
        <w:t xml:space="preserve">de développement des capacités; b) la construction d’un partenariat stratégique autour de l’appui aux initiatives des collectivités</w:t>
      </w:r>
      <w:r>
        <w:rPr>
          <w:rFonts w:cs="Arial" w:hAnsi="Arial" w:eastAsia="Arial" w:ascii="Arial"/>
          <w:sz w:val="18"/>
        </w:rPr>
        <w:t xml:space="preserve"> </w:t>
      </w:r>
      <w:r>
        <w:rPr>
          <w:rFonts w:cs="Arial" w:hAnsi="Arial" w:eastAsia="Arial" w:ascii="Arial"/>
          <w:sz w:val="18"/>
        </w:rPr>
        <w:t xml:space="preserve">et communautés</w:t>
      </w:r>
      <w:r>
        <w:rPr>
          <w:rFonts w:cs="Arial" w:hAnsi="Arial" w:eastAsia="Arial" w:ascii="Arial"/>
          <w:sz w:val="18"/>
        </w:rPr>
        <w:t xml:space="preserve"> </w:t>
      </w:r>
      <w:r>
        <w:rPr>
          <w:rFonts w:cs="Arial" w:hAnsi="Arial" w:eastAsia="Arial" w:ascii="Arial"/>
          <w:sz w:val="18"/>
        </w:rPr>
        <w:t xml:space="preserve">; c) La prise en compte de l’équité homme</w:t>
      </w:r>
      <w:r>
        <w:rPr>
          <w:rFonts w:cs="Arial" w:hAnsi="Arial" w:eastAsia="Arial" w:ascii="Arial"/>
          <w:sz w:val="18"/>
        </w:rPr>
        <w:t xml:space="preserve">-</w:t>
      </w:r>
      <w:r>
        <w:rPr>
          <w:rFonts w:cs="Arial" w:hAnsi="Arial" w:eastAsia="Arial" w:ascii="Arial"/>
          <w:sz w:val="18"/>
        </w:rPr>
        <w:t xml:space="preserve">femme et d) la valorisation des acquis de certains projets structurant en cours.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pStyle w:val="heading4"/>
        <w:spacing w:before="0" w:after="3" w:line="259" w:lineRule="auto"/>
        <w:ind w:left="-5"/>
      </w:pPr>
      <w:r>
        <w:rPr>
          <w:rFonts w:cs="Arial" w:hAnsi="Arial" w:eastAsia="Arial" w:ascii="Arial"/>
          <w:sz w:val="18"/>
        </w:rPr>
        <w:t xml:space="preserve">DESCRIPTION DES TACHES</w:t>
      </w:r>
      <w:r>
        <w:rPr>
          <w:rFonts w:cs="Arial" w:hAnsi="Arial" w:eastAsia="Arial" w:ascii="Arial"/>
          <w:sz w:val="18"/>
          <w:u w:val="none" w:color="000000"/>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Sous la supervision du Directeur National du Projet</w:t>
      </w:r>
      <w:r>
        <w:rPr>
          <w:rFonts w:cs="Arial" w:hAnsi="Arial" w:eastAsia="Arial" w:ascii="Arial"/>
          <w:sz w:val="18"/>
        </w:rPr>
        <w:t xml:space="preserve"> </w:t>
      </w:r>
      <w:r>
        <w:rPr>
          <w:rFonts w:cs="Arial" w:hAnsi="Arial" w:eastAsia="Arial" w:ascii="Arial"/>
          <w:sz w:val="18"/>
        </w:rPr>
        <w:t xml:space="preserve">en concertation avec le PNUD, le/la coordinatrice</w:t>
      </w:r>
      <w:r>
        <w:rPr>
          <w:rFonts w:cs="Arial" w:hAnsi="Arial" w:eastAsia="Arial" w:ascii="Arial"/>
          <w:sz w:val="18"/>
        </w:rPr>
        <w:t xml:space="preserve"> </w:t>
      </w:r>
      <w:r>
        <w:rPr>
          <w:rFonts w:cs="Arial" w:hAnsi="Arial" w:eastAsia="Arial" w:ascii="Arial"/>
          <w:sz w:val="18"/>
        </w:rPr>
        <w:t xml:space="preserve">est responsable de l’exécution nationale technique, administrative et financière quotidienne du projet</w:t>
      </w:r>
      <w:r>
        <w:rPr>
          <w:rFonts w:cs="Arial" w:hAnsi="Arial" w:eastAsia="Arial" w:ascii="Arial"/>
          <w:sz w:val="18"/>
        </w:rPr>
        <w:t xml:space="preserve"> </w:t>
      </w:r>
      <w:r>
        <w:rPr>
          <w:rFonts w:cs="Arial" w:hAnsi="Arial" w:eastAsia="Arial" w:ascii="Arial"/>
          <w:sz w:val="18"/>
        </w:rPr>
        <w:t xml:space="preserve">dans le cadre des règlements régissant l’exécution des programmes financés par le PNUD.</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37" w:line="251" w:lineRule="auto"/>
        <w:ind w:left="-5" w:right="2"/>
      </w:pPr>
      <w:r>
        <w:rPr>
          <w:rFonts w:cs="Arial" w:hAnsi="Arial" w:eastAsia="Arial" w:ascii="Arial"/>
          <w:sz w:val="18"/>
        </w:rPr>
        <w:t xml:space="preserve">Il/elle</w:t>
      </w:r>
      <w:r>
        <w:rPr>
          <w:rFonts w:cs="Arial" w:hAnsi="Arial" w:eastAsia="Arial" w:ascii="Arial"/>
          <w:sz w:val="18"/>
        </w:rPr>
        <w:t xml:space="preserve"> </w:t>
      </w:r>
      <w:r>
        <w:rPr>
          <w:rFonts w:cs="Arial" w:hAnsi="Arial" w:eastAsia="Arial" w:ascii="Arial"/>
          <w:sz w:val="18"/>
        </w:rPr>
        <w:t xml:space="preserve">sera notamment chargé(e)</w:t>
      </w:r>
      <w:r>
        <w:rPr>
          <w:rFonts w:cs="Arial" w:hAnsi="Arial" w:eastAsia="Arial" w:ascii="Arial"/>
          <w:sz w:val="18"/>
        </w:rPr>
        <w:t xml:space="preserve"> </w:t>
      </w:r>
      <w:r>
        <w:rPr>
          <w:rFonts w:cs="Arial" w:hAnsi="Arial" w:eastAsia="Arial" w:ascii="Arial"/>
          <w:sz w:val="18"/>
        </w:rPr>
        <w:t xml:space="preserve">de</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0" w:line="259" w:lineRule="auto"/>
        <w:ind w:left="0" w:firstLine="0"/>
        <w:jc w:val="left"/>
      </w:pPr>
      <w:r>
        <w:rPr>
          <w:sz w:val="24"/>
        </w:rPr>
        <w:t xml:space="preserve"> </w:t>
      </w:r>
    </w:p>
    <w:p>
      <w:pPr>
        <w:numPr>
          <w:ilvl w:val="0"/>
          <w:numId w:val="28"/>
        </w:numPr>
        <w:spacing w:before="0" w:after="5" w:line="251" w:lineRule="auto"/>
        <w:ind w:left="720" w:right="2" w:hanging="360"/>
      </w:pPr>
      <w:r>
        <w:rPr>
          <w:rFonts w:cs="Arial" w:hAnsi="Arial" w:eastAsia="Arial" w:ascii="Arial"/>
          <w:sz w:val="18"/>
        </w:rPr>
        <w:t xml:space="preserve">Concevoir, mettre en place et suivre la mise en œuvre des plans annuels de travail  sur la base des produits pertinents du document de programme, en étroite collaboration avec le PNUD</w:t>
      </w:r>
      <w:r>
        <w:rPr>
          <w:rFonts w:cs="Arial" w:hAnsi="Arial" w:eastAsia="Arial" w:ascii="Arial"/>
          <w:sz w:val="18"/>
        </w:rPr>
        <w:t xml:space="preserve"> </w:t>
      </w:r>
      <w:r>
        <w:rPr>
          <w:rFonts w:cs="Arial" w:hAnsi="Arial" w:eastAsia="Arial" w:ascii="Arial"/>
          <w:sz w:val="18"/>
        </w:rPr>
        <w:t xml:space="preserve">et  les partenaires concernés et avec l’appui de l’équipe du projet</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Veiller à</w:t>
      </w:r>
      <w:r>
        <w:rPr>
          <w:rFonts w:cs="Arial" w:hAnsi="Arial" w:eastAsia="Arial" w:ascii="Arial"/>
          <w:sz w:val="18"/>
        </w:rPr>
        <w:t xml:space="preserve"> </w:t>
      </w:r>
      <w:r>
        <w:rPr>
          <w:rFonts w:cs="Arial" w:hAnsi="Arial" w:eastAsia="Arial" w:ascii="Arial"/>
          <w:sz w:val="18"/>
        </w:rPr>
        <w:t xml:space="preserve">la</w:t>
      </w:r>
      <w:r>
        <w:rPr>
          <w:rFonts w:cs="Arial" w:hAnsi="Arial" w:eastAsia="Arial" w:ascii="Arial"/>
          <w:sz w:val="18"/>
        </w:rPr>
        <w:t xml:space="preserve"> </w:t>
      </w:r>
      <w:r>
        <w:rPr>
          <w:rFonts w:cs="Arial" w:hAnsi="Arial" w:eastAsia="Arial" w:ascii="Arial"/>
          <w:sz w:val="18"/>
        </w:rPr>
        <w:t xml:space="preserve">gestion administrative et financière du projet</w:t>
      </w:r>
      <w:r>
        <w:rPr>
          <w:rFonts w:cs="Arial" w:hAnsi="Arial" w:eastAsia="Arial" w:ascii="Arial"/>
          <w:sz w:val="18"/>
        </w:rPr>
        <w:t xml:space="preserve"> </w:t>
      </w:r>
      <w:r>
        <w:rPr>
          <w:rFonts w:cs="Arial" w:hAnsi="Arial" w:eastAsia="Arial" w:ascii="Arial"/>
          <w:sz w:val="18"/>
        </w:rPr>
        <w:t xml:space="preserve">conformément aux règles et procédures du PNUD</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Mettre à la disposition de chaque structure intervenant dans le projet, les ressources nécessaires à la réalisation de  ses activités;</w:t>
      </w:r>
      <w:r>
        <w:rPr>
          <w:rFonts w:cs="Arial" w:hAnsi="Arial" w:eastAsia="Arial" w:ascii="Arial"/>
          <w:sz w:val="18"/>
        </w:rPr>
        <w:t xml:space="preserve"> </w:t>
      </w:r>
    </w:p>
    <w:p>
      <w:pPr>
        <w:numPr>
          <w:ilvl w:val="0"/>
          <w:numId w:val="28"/>
        </w:numPr>
        <w:spacing w:before="0" w:after="5" w:line="251" w:lineRule="auto"/>
        <w:ind w:left="720" w:right="2" w:hanging="360"/>
      </w:pPr>
      <w:r>
        <w:rPr>
          <w:rFonts w:cs="Arial" w:hAnsi="Arial" w:eastAsia="Arial" w:ascii="Arial"/>
          <w:sz w:val="18"/>
        </w:rPr>
        <w:t xml:space="preserve">Superviser les activités</w:t>
      </w:r>
      <w:r>
        <w:rPr>
          <w:rFonts w:cs="Arial" w:hAnsi="Arial" w:eastAsia="Arial" w:ascii="Arial"/>
          <w:sz w:val="18"/>
        </w:rPr>
        <w:t xml:space="preserve"> </w:t>
      </w:r>
      <w:r>
        <w:rPr>
          <w:rFonts w:cs="Arial" w:hAnsi="Arial" w:eastAsia="Arial" w:ascii="Arial"/>
          <w:sz w:val="18"/>
        </w:rPr>
        <w:t xml:space="preserve">des autres experts du projet  et évaluer les performances du personnel de l’UG du </w:t>
      </w:r>
    </w:p>
    <w:p>
      <w:pPr>
        <w:spacing w:before="0" w:after="5" w:line="251" w:lineRule="auto"/>
        <w:ind w:left="730" w:right="2"/>
      </w:pPr>
      <w:r>
        <w:rPr>
          <w:rFonts w:cs="Arial" w:hAnsi="Arial" w:eastAsia="Arial" w:ascii="Arial"/>
          <w:sz w:val="18"/>
        </w:rPr>
        <w:t xml:space="preserve">projet</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Elaborer et mettre en œuvre le plan de formation du personnel du projet, et des bénéficiaires du  projet</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Planifier, coordonner et superviser  les actions des partenaires et prestataires du projet chargés de la réalisation de certaines activités et vérifier la qualité de leurs prestations</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Planifier et coordonner  les missions des consultants nationaux et internationaux  du projet et en préparer les mandats détaillés, orienter leurs activités sur le terrain en fonction des TDR et vérifier la qualité de leurs rapports et prestations</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Prendre les initiatives en temps opportun pour susciter des conventions de partenariats avec les PTF;</w:t>
      </w:r>
      <w:r>
        <w:rPr>
          <w:rFonts w:cs="Arial" w:hAnsi="Arial" w:eastAsia="Arial" w:ascii="Arial"/>
          <w:sz w:val="18"/>
        </w:rPr>
        <w:t xml:space="preserve"> </w:t>
      </w:r>
    </w:p>
    <w:p>
      <w:pPr>
        <w:numPr>
          <w:ilvl w:val="0"/>
          <w:numId w:val="28"/>
        </w:numPr>
        <w:spacing w:before="0" w:after="5" w:line="251" w:lineRule="auto"/>
        <w:ind w:left="720" w:right="2" w:hanging="360"/>
      </w:pPr>
      <w:r>
        <w:rPr>
          <w:rFonts w:cs="Arial" w:hAnsi="Arial" w:eastAsia="Arial" w:ascii="Arial"/>
          <w:sz w:val="18"/>
        </w:rPr>
        <w:t xml:space="preserve">Explorer dans le cadre du partenariat, tous les voies et moyens susceptibles de matérialiser la complémentarité des actions et des apports financiers</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Rechercher et formaliser les synergies avec d’autres projets pour renforcer la gouvernance environnementale </w:t>
      </w:r>
    </w:p>
    <w:p>
      <w:pPr>
        <w:spacing w:before="0" w:after="5" w:line="251" w:lineRule="auto"/>
        <w:ind w:left="730" w:right="2"/>
      </w:pPr>
      <w:r>
        <w:rPr>
          <w:rFonts w:cs="Arial" w:hAnsi="Arial" w:eastAsia="Arial" w:ascii="Arial"/>
          <w:sz w:val="18"/>
        </w:rPr>
        <w:t xml:space="preserve">locale</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Etablir les rapports financiers trimestriels et les  rapports annuels d’avancement  et d’évaluation interne du projet selon les règles  et procédures du PNUD</w:t>
      </w:r>
      <w:r>
        <w:rPr>
          <w:rFonts w:cs="Arial" w:hAnsi="Arial" w:eastAsia="Arial" w:ascii="Arial"/>
          <w:sz w:val="18"/>
        </w:rPr>
        <w:t xml:space="preserve"> ; </w:t>
      </w:r>
    </w:p>
    <w:p>
      <w:pPr>
        <w:numPr>
          <w:ilvl w:val="0"/>
          <w:numId w:val="28"/>
        </w:numPr>
        <w:spacing w:before="0" w:after="5" w:line="251" w:lineRule="auto"/>
        <w:ind w:left="720" w:right="2" w:hanging="360"/>
      </w:pPr>
      <w:r>
        <w:rPr>
          <w:rFonts w:cs="Arial" w:hAnsi="Arial" w:eastAsia="Arial" w:ascii="Arial"/>
          <w:sz w:val="18"/>
        </w:rPr>
        <w:t xml:space="preserve">Assurer le suivi de l’exécution du projet sur le terrain et la production de document de réflexion</w:t>
      </w:r>
      <w:r>
        <w:rPr>
          <w:rFonts w:cs="Arial" w:hAnsi="Arial" w:eastAsia="Arial" w:ascii="Arial"/>
          <w:sz w:val="18"/>
        </w:rPr>
        <w:t xml:space="preserve"> ; </w:t>
      </w:r>
      <w:r>
        <w:rPr>
          <w:rFonts w:cs="Wingdings" w:hAnsi="Wingdings" w:eastAsia="Wingdings" w:ascii="Wingdings"/>
          <w:sz w:val="18"/>
        </w:rPr>
        <w:t xml:space="preserve"></w:t>
      </w:r>
      <w:r>
        <w:rPr>
          <w:rFonts w:cs="Arial" w:hAnsi="Arial" w:eastAsia="Arial" w:ascii="Arial"/>
          <w:sz w:val="18"/>
        </w:rPr>
        <w:t xml:space="preserve"> 	</w:t>
      </w:r>
      <w:r>
        <w:rPr>
          <w:rFonts w:cs="Arial" w:hAnsi="Arial" w:eastAsia="Arial" w:ascii="Arial"/>
          <w:sz w:val="18"/>
        </w:rPr>
        <w:t xml:space="preserve">Assurer toutes</w:t>
      </w:r>
      <w:r>
        <w:rPr>
          <w:rFonts w:cs="Arial" w:hAnsi="Arial" w:eastAsia="Arial" w:ascii="Arial"/>
          <w:sz w:val="18"/>
        </w:rPr>
        <w:t xml:space="preserve"> </w:t>
      </w:r>
      <w:r>
        <w:rPr>
          <w:rFonts w:cs="Arial" w:hAnsi="Arial" w:eastAsia="Arial" w:ascii="Arial"/>
          <w:sz w:val="18"/>
        </w:rPr>
        <w:t xml:space="preserve">autres tâches concourant à la pleine réalisation des objectifs du projet.</w:t>
      </w:r>
      <w:r>
        <w:rPr>
          <w:rFonts w:cs="Arial" w:hAnsi="Arial" w:eastAsia="Arial" w:ascii="Arial"/>
          <w:sz w:val="18"/>
        </w:rPr>
        <w:t xml:space="preserve"> </w:t>
      </w:r>
    </w:p>
    <w:p>
      <w:pPr>
        <w:spacing w:before="0" w:after="0" w:line="259" w:lineRule="auto"/>
        <w:ind w:left="1080" w:firstLine="0"/>
        <w:jc w:val="left"/>
      </w:pPr>
      <w:r>
        <w:rPr>
          <w:rFonts w:cs="Arial" w:hAnsi="Arial" w:eastAsia="Arial" w:ascii="Arial"/>
          <w:sz w:val="18"/>
        </w:rPr>
        <w:t xml:space="preserve"> </w:t>
      </w:r>
    </w:p>
    <w:p>
      <w:pPr>
        <w:pStyle w:val="heading4"/>
        <w:spacing w:before="0" w:after="3" w:line="259" w:lineRule="auto"/>
        <w:ind w:left="-5"/>
      </w:pPr>
      <w:r>
        <w:rPr>
          <w:rFonts w:cs="Arial" w:hAnsi="Arial" w:eastAsia="Arial" w:ascii="Arial"/>
          <w:sz w:val="18"/>
        </w:rPr>
        <w:t xml:space="preserve">QUALIFICATIONS</w:t>
      </w:r>
      <w:r>
        <w:rPr>
          <w:rFonts w:cs="Arial" w:hAnsi="Arial" w:eastAsia="Arial" w:ascii="Arial"/>
          <w:sz w:val="18"/>
          <w:u w:val="none" w:color="000000"/>
        </w:rPr>
        <w:t xml:space="preserve"> </w:t>
      </w:r>
    </w:p>
    <w:p>
      <w:pPr>
        <w:spacing w:before="0" w:after="6" w:line="259" w:lineRule="auto"/>
        <w:ind w:left="0" w:firstLine="0"/>
        <w:jc w:val="left"/>
      </w:pPr>
      <w:r>
        <w:rPr>
          <w:rFonts w:cs="Arial" w:hAnsi="Arial" w:eastAsia="Arial" w:ascii="Arial"/>
          <w:sz w:val="18"/>
        </w:rPr>
        <w:t xml:space="preserve"> </w:t>
      </w:r>
    </w:p>
    <w:p>
      <w:pPr>
        <w:numPr>
          <w:ilvl w:val="0"/>
          <w:numId w:val="29"/>
        </w:numPr>
        <w:spacing w:before="0" w:after="5" w:line="251" w:lineRule="auto"/>
        <w:ind w:left="720" w:right="2" w:hanging="360"/>
      </w:pPr>
      <w:r>
        <w:rPr>
          <w:rFonts w:cs="Arial" w:hAnsi="Arial" w:eastAsia="Arial" w:ascii="Arial"/>
          <w:sz w:val="18"/>
        </w:rPr>
        <w:t xml:space="preserve">Titulaire d’un diplôme universitaire, niveau DESS en sciences de l’environnement, économie du développement, ou planification locale, avec une solide expérience  en</w:t>
      </w:r>
      <w:r>
        <w:rPr>
          <w:rFonts w:cs="Arial" w:hAnsi="Arial" w:eastAsia="Arial" w:ascii="Arial"/>
          <w:sz w:val="18"/>
        </w:rPr>
        <w:t xml:space="preserve"> </w:t>
      </w:r>
      <w:r>
        <w:rPr>
          <w:rFonts w:cs="Arial" w:hAnsi="Arial" w:eastAsia="Arial" w:ascii="Arial"/>
          <w:sz w:val="18"/>
        </w:rPr>
        <w:t xml:space="preserve">gestion publique de l’environnement et en planification locale (communale et régionale), le candidat doit</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numPr>
          <w:ilvl w:val="0"/>
          <w:numId w:val="29"/>
        </w:numPr>
        <w:spacing w:before="0" w:after="5" w:line="251" w:lineRule="auto"/>
        <w:ind w:left="720" w:right="2" w:hanging="360"/>
      </w:pPr>
      <w:r>
        <w:rPr>
          <w:rFonts w:cs="Arial" w:hAnsi="Arial" w:eastAsia="Arial" w:ascii="Arial"/>
          <w:sz w:val="18"/>
        </w:rPr>
        <w:t xml:space="preserve">Justifier d’au moins 10 ans d’expériences professionnelles, dont 5 ans prouvés dans la planification, le suivi et l’évaluation des programmes et projets de développement</w:t>
      </w:r>
      <w:r>
        <w:rPr>
          <w:rFonts w:cs="Arial" w:hAnsi="Arial" w:eastAsia="Arial" w:ascii="Arial"/>
          <w:sz w:val="18"/>
        </w:rPr>
        <w:t xml:space="preserve"> ; </w:t>
      </w:r>
    </w:p>
    <w:p>
      <w:pPr>
        <w:numPr>
          <w:ilvl w:val="0"/>
          <w:numId w:val="29"/>
        </w:numPr>
        <w:spacing w:before="0" w:after="5" w:line="251" w:lineRule="auto"/>
        <w:ind w:left="720" w:right="2" w:hanging="360"/>
      </w:pPr>
      <w:r>
        <w:rPr>
          <w:rFonts w:cs="Arial" w:hAnsi="Arial" w:eastAsia="Arial" w:ascii="Arial"/>
          <w:sz w:val="18"/>
        </w:rPr>
        <w:t xml:space="preserve">Posséder une expérience dans l’utilisation des méthodes rapides et participatives, de la conception des études quantitatives, de l’échantillonnage et d’analyse de données</w:t>
      </w:r>
      <w:r>
        <w:rPr>
          <w:rFonts w:cs="Arial" w:hAnsi="Arial" w:eastAsia="Arial" w:ascii="Arial"/>
          <w:sz w:val="18"/>
        </w:rPr>
        <w:t xml:space="preserve"> ;  </w:t>
      </w:r>
    </w:p>
    <w:p>
      <w:pPr>
        <w:numPr>
          <w:ilvl w:val="0"/>
          <w:numId w:val="29"/>
        </w:numPr>
        <w:spacing w:before="0" w:after="5" w:line="251" w:lineRule="auto"/>
        <w:ind w:left="720" w:right="2" w:hanging="360"/>
      </w:pPr>
      <w:r>
        <w:rPr>
          <w:rFonts w:cs="Arial" w:hAnsi="Arial" w:eastAsia="Arial" w:ascii="Arial"/>
          <w:sz w:val="18"/>
        </w:rPr>
        <w:t xml:space="preserve">Etre apte à dialoguer avec les communes et les services techniques les responsables  administratifs et coutumiers</w:t>
      </w:r>
      <w:r>
        <w:rPr>
          <w:rFonts w:cs="Arial" w:hAnsi="Arial" w:eastAsia="Arial" w:ascii="Arial"/>
          <w:sz w:val="18"/>
        </w:rPr>
        <w:t xml:space="preserve"> ; </w:t>
      </w:r>
    </w:p>
    <w:p>
      <w:pPr>
        <w:numPr>
          <w:ilvl w:val="0"/>
          <w:numId w:val="29"/>
        </w:numPr>
        <w:spacing w:before="0" w:after="5" w:line="251" w:lineRule="auto"/>
        <w:ind w:left="720" w:right="2" w:hanging="360"/>
      </w:pPr>
      <w:r>
        <w:rPr>
          <w:rFonts w:cs="Arial" w:hAnsi="Arial" w:eastAsia="Arial" w:ascii="Arial"/>
          <w:sz w:val="18"/>
        </w:rPr>
        <w:t xml:space="preserve">Avoir des capacités d’animation et de  rédaction et de synthèse</w:t>
      </w:r>
      <w:r>
        <w:rPr>
          <w:rFonts w:cs="Arial" w:hAnsi="Arial" w:eastAsia="Arial" w:ascii="Arial"/>
          <w:sz w:val="18"/>
        </w:rPr>
        <w:t xml:space="preserve"> ; </w:t>
      </w:r>
    </w:p>
    <w:p>
      <w:pPr>
        <w:numPr>
          <w:ilvl w:val="0"/>
          <w:numId w:val="29"/>
        </w:numPr>
        <w:spacing w:before="0" w:after="5" w:line="251" w:lineRule="auto"/>
        <w:ind w:left="720" w:right="2" w:hanging="360"/>
      </w:pPr>
      <w:r>
        <w:rPr>
          <w:rFonts w:cs="Arial" w:hAnsi="Arial" w:eastAsia="Arial" w:ascii="Arial"/>
          <w:sz w:val="18"/>
        </w:rPr>
        <w:t xml:space="preserve">La familiarité avec les procédures du Gouvernement et du PNUD en matière de gestion de programmes/projets</w:t>
      </w:r>
      <w:r>
        <w:rPr>
          <w:rFonts w:cs="Arial" w:hAnsi="Arial" w:eastAsia="Arial" w:ascii="Arial"/>
          <w:sz w:val="18"/>
        </w:rPr>
        <w:t xml:space="preserve"> </w:t>
      </w:r>
      <w:r>
        <w:rPr>
          <w:rFonts w:cs="Arial" w:hAnsi="Arial" w:eastAsia="Arial" w:ascii="Arial"/>
          <w:sz w:val="18"/>
        </w:rPr>
        <w:t xml:space="preserve">serait un atout;</w:t>
      </w:r>
      <w:r>
        <w:rPr>
          <w:rFonts w:cs="Arial" w:hAnsi="Arial" w:eastAsia="Arial" w:ascii="Arial"/>
          <w:sz w:val="18"/>
        </w:rPr>
        <w:t xml:space="preserve"> </w:t>
      </w:r>
    </w:p>
    <w:p>
      <w:pPr>
        <w:numPr>
          <w:ilvl w:val="0"/>
          <w:numId w:val="29"/>
        </w:numPr>
        <w:spacing w:before="0" w:after="5" w:line="251" w:lineRule="auto"/>
        <w:ind w:left="720" w:right="2" w:hanging="360"/>
      </w:pPr>
      <w:r>
        <w:rPr>
          <w:rFonts w:cs="Arial" w:hAnsi="Arial" w:eastAsia="Arial" w:ascii="Arial"/>
          <w:sz w:val="18"/>
        </w:rPr>
        <w:t xml:space="preserve">Une expérience de travail dans le cadre d’un projet du SNU d’au moins trois (3) ans</w:t>
      </w:r>
      <w:r>
        <w:rPr>
          <w:rFonts w:cs="Arial" w:hAnsi="Arial" w:eastAsia="Arial" w:ascii="Arial"/>
          <w:sz w:val="18"/>
        </w:rPr>
        <w:t xml:space="preserve"> </w:t>
      </w:r>
      <w:r>
        <w:rPr>
          <w:rFonts w:cs="Arial" w:hAnsi="Arial" w:eastAsia="Arial" w:ascii="Arial"/>
          <w:sz w:val="18"/>
        </w:rPr>
        <w:t xml:space="preserve">serait un atout;</w:t>
      </w:r>
      <w:r>
        <w:rPr>
          <w:rFonts w:cs="Arial" w:hAnsi="Arial" w:eastAsia="Arial" w:ascii="Arial"/>
          <w:sz w:val="18"/>
        </w:rPr>
        <w:t xml:space="preserve"> </w:t>
      </w:r>
      <w:r>
        <w:rPr>
          <w:rFonts w:cs="Wingdings" w:hAnsi="Wingdings" w:eastAsia="Wingdings" w:ascii="Wingdings"/>
          <w:sz w:val="18"/>
        </w:rPr>
        <w:t xml:space="preserve"></w:t>
      </w:r>
      <w:r>
        <w:rPr>
          <w:rFonts w:cs="Arial" w:hAnsi="Arial" w:eastAsia="Arial" w:ascii="Arial"/>
          <w:sz w:val="18"/>
        </w:rPr>
        <w:t xml:space="preserve"> 	</w:t>
      </w:r>
      <w:r>
        <w:rPr>
          <w:rFonts w:cs="Arial" w:hAnsi="Arial" w:eastAsia="Arial" w:ascii="Arial"/>
          <w:sz w:val="18"/>
        </w:rPr>
        <w:t xml:space="preserve">Maîtrise des logiciels informatiques</w:t>
      </w:r>
      <w:r>
        <w:rPr>
          <w:rFonts w:cs="Arial" w:hAnsi="Arial" w:eastAsia="Arial" w:ascii="Arial"/>
          <w:sz w:val="18"/>
        </w:rPr>
        <w:t xml:space="preserve"> </w:t>
      </w:r>
      <w:r>
        <w:rPr>
          <w:rFonts w:cs="Arial" w:hAnsi="Arial" w:eastAsia="Arial" w:ascii="Arial"/>
          <w:sz w:val="18"/>
        </w:rPr>
        <w:t xml:space="preserve">: traitement de texte Word, SIG, Access, Excel, etc.</w:t>
      </w:r>
      <w:r>
        <w:rPr>
          <w:rFonts w:cs="Arial" w:hAnsi="Arial" w:eastAsia="Arial" w:ascii="Arial"/>
          <w:sz w:val="18"/>
        </w:rPr>
        <w:t xml:space="preserve"> </w:t>
      </w:r>
    </w:p>
    <w:p>
      <w:pPr>
        <w:spacing w:before="0" w:after="19"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Times New Roman" w:hAnsi="Times New Roman" w:eastAsia="Times New Roman" w:ascii="Times New Roman"/>
          <w:b w:val="1"/>
        </w:rPr>
        <w:t xml:space="preserve"> 	 </w:t>
      </w:r>
      <w:r>
        <w:br w:type="page"/>
      </w:r>
    </w:p>
    <w:p>
      <w:pPr>
        <w:pStyle w:val="heading4"/>
        <w:pBdr>
          <w:top w:val="single" w:color="000000" w:sz="4"/>
          <w:left w:val="single" w:color="000000" w:sz="4"/>
          <w:bottom w:val="single" w:color="000000" w:sz="4"/>
          <w:right w:val="single" w:color="000000" w:sz="4"/>
        </w:pBdr>
        <w:spacing w:before="0" w:after="0" w:line="259" w:lineRule="auto"/>
        <w:ind w:left="364"/>
        <w:jc w:val="center"/>
      </w:pPr>
      <w:r>
        <w:rPr>
          <w:rFonts w:cs="Times New Roman" w:hAnsi="Times New Roman" w:eastAsia="Times New Roman" w:ascii="Times New Roman"/>
          <w:b w:val="1"/>
          <w:u w:val="none" w:color="000000"/>
        </w:rPr>
        <w:t xml:space="preserve">TDR DE L’EXPERT (E) EN SUIVI</w:t>
      </w:r>
      <w:r>
        <w:rPr>
          <w:rFonts w:cs="Times New Roman" w:hAnsi="Times New Roman" w:eastAsia="Times New Roman" w:ascii="Times New Roman"/>
          <w:b w:val="1"/>
          <w:u w:val="none" w:color="000000"/>
        </w:rPr>
        <w:t xml:space="preserve">-</w:t>
      </w:r>
      <w:r>
        <w:rPr>
          <w:rFonts w:cs="Times New Roman" w:hAnsi="Times New Roman" w:eastAsia="Times New Roman" w:ascii="Times New Roman"/>
          <w:b w:val="1"/>
          <w:u w:val="none" w:color="000000"/>
        </w:rPr>
        <w:t xml:space="preserve">EVALUATION</w:t>
      </w:r>
      <w:r>
        <w:rPr>
          <w:rFonts w:cs="Times New Roman" w:hAnsi="Times New Roman" w:eastAsia="Times New Roman" w:ascii="Times New Roman"/>
          <w:b w:val="1"/>
          <w:u w:val="none" w:color="000000"/>
        </w:rPr>
        <w:t xml:space="preserve"> </w:t>
      </w:r>
    </w:p>
    <w:tbl>
      <w:tblPr>
        <w:tblStyle w:val="TableGrid"/>
        <w:tblW w:w="4313" w:type="dxa"/>
        <w:tblInd w:w="0" w:type="dxa"/>
        <w:tblCellMar>
          <w:top w:w="0" w:type="dxa"/>
          <w:left w:w="0" w:type="dxa"/>
          <w:bottom w:w="0" w:type="dxa"/>
          <w:right w:w="0" w:type="dxa"/>
        </w:tblCellMar>
      </w:tblPr>
      <w:tblGrid>
        <w:gridCol w:w="2124"/>
        <w:gridCol w:w="466"/>
        <w:gridCol w:w="1723"/>
      </w:tblGrid>
      <w:tr>
        <w:trPr>
          <w:trHeight w:val="205"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466" w:type="dxa"/>
            <w:tcBorders>
              <w:top w:val="nil"/>
              <w:left w:val="nil"/>
              <w:bottom w:val="nil"/>
              <w:right w:val="nil"/>
            </w:tcBorders>
            <w:vAlign w:val="top"/>
          </w:tcPr>
          <w:p>
            <w:pPr>
              <w:bidi w:val="0"/>
              <w:spacing w:before="0" w:after="160" w:line="259" w:lineRule="auto"/>
              <w:ind w:left="0" w:right="0" w:firstLine="0"/>
              <w:jc w:val="left"/>
            </w:pPr>
          </w:p>
        </w:tc>
        <w:tc>
          <w:tcPr>
            <w:tcW w:w="1723" w:type="dxa"/>
            <w:tcBorders>
              <w:top w:val="nil"/>
              <w:left w:val="nil"/>
              <w:bottom w:val="nil"/>
              <w:right w:val="nil"/>
            </w:tcBorders>
            <w:vAlign w:val="bottom"/>
          </w:tcPr>
          <w:p>
            <w:pPr>
              <w:bidi w:val="0"/>
              <w:spacing w:before="0" w:after="160" w:line="259" w:lineRule="auto"/>
              <w:ind w:left="0" w:right="0" w:firstLine="0"/>
              <w:jc w:val="left"/>
            </w:pPr>
          </w:p>
        </w:tc>
      </w:tr>
      <w:tr>
        <w:trPr>
          <w:trHeight w:val="208"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Lieu d’affectation</w:t>
            </w:r>
            <w:r>
              <w:rPr>
                <w:rFonts w:cs="Arial" w:hAnsi="Arial" w:eastAsia="Arial" w:ascii="Arial"/>
                <w:sz w:val="18"/>
              </w:rPr>
              <w:t xml:space="preserve">  </w:t>
            </w:r>
          </w:p>
        </w:tc>
        <w:tc>
          <w:tcPr>
            <w:tcW w:w="466"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1723" w:type="dxa"/>
            <w:tcBorders>
              <w:top w:val="nil"/>
              <w:left w:val="nil"/>
              <w:bottom w:val="nil"/>
              <w:right w:val="nil"/>
            </w:tcBorders>
            <w:vAlign w:val="top"/>
          </w:tcPr>
          <w:p>
            <w:pPr>
              <w:spacing w:before="0" w:after="0" w:line="259" w:lineRule="auto"/>
              <w:ind w:left="0" w:right="97" w:firstLine="0"/>
              <w:jc w:val="center"/>
            </w:pPr>
            <w:r>
              <w:rPr>
                <w:rFonts w:cs="Arial" w:hAnsi="Arial" w:eastAsia="Arial" w:ascii="Arial"/>
                <w:sz w:val="18"/>
              </w:rPr>
              <w:t xml:space="preserve">Ouagadougou</w:t>
            </w:r>
            <w:r>
              <w:rPr>
                <w:rFonts w:cs="Arial" w:hAnsi="Arial" w:eastAsia="Arial" w:ascii="Arial"/>
                <w:sz w:val="18"/>
              </w:rPr>
              <w:t xml:space="preserve"> </w:t>
            </w:r>
          </w:p>
        </w:tc>
      </w:tr>
      <w:tr>
        <w:trPr>
          <w:trHeight w:val="206"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Durée de l’engagement</w:t>
            </w:r>
            <w:r>
              <w:rPr>
                <w:rFonts w:cs="Arial" w:hAnsi="Arial" w:eastAsia="Arial" w:ascii="Arial"/>
                <w:sz w:val="18"/>
              </w:rPr>
              <w:t xml:space="preserve"> </w:t>
            </w:r>
          </w:p>
        </w:tc>
        <w:tc>
          <w:tcPr>
            <w:tcW w:w="466"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r>
              <w:rPr>
                <w:rFonts w:cs="Arial" w:hAnsi="Arial" w:eastAsia="Arial" w:ascii="Arial"/>
                <w:sz w:val="18"/>
              </w:rPr>
              <w:t xml:space="preserve"> </w:t>
            </w:r>
          </w:p>
        </w:tc>
        <w:tc>
          <w:tcPr>
            <w:tcW w:w="1723" w:type="dxa"/>
            <w:tcBorders>
              <w:top w:val="nil"/>
              <w:left w:val="nil"/>
              <w:bottom w:val="nil"/>
              <w:right w:val="nil"/>
            </w:tcBorders>
            <w:vAlign w:val="top"/>
          </w:tcPr>
          <w:p>
            <w:pPr>
              <w:spacing w:before="0" w:after="0" w:line="259" w:lineRule="auto"/>
              <w:ind w:left="0" w:right="50" w:firstLine="0"/>
              <w:jc w:val="right"/>
            </w:pPr>
            <w:r>
              <w:rPr>
                <w:rFonts w:cs="Arial" w:hAnsi="Arial" w:eastAsia="Arial" w:ascii="Arial"/>
                <w:sz w:val="18"/>
              </w:rPr>
              <w:t xml:space="preserve">1 an renouvelable</w:t>
            </w:r>
            <w:r>
              <w:rPr>
                <w:rFonts w:cs="Arial" w:hAnsi="Arial" w:eastAsia="Arial" w:ascii="Arial"/>
                <w:sz w:val="18"/>
              </w:rPr>
              <w:t xml:space="preserve"> </w:t>
            </w:r>
          </w:p>
        </w:tc>
      </w:tr>
      <w:tr>
        <w:trPr>
          <w:trHeight w:val="203" w:hRule="atLeast"/>
        </w:trPr>
        <w:tc>
          <w:tcPr>
            <w:tcW w:w="2124" w:type="dxa"/>
            <w:tcBorders>
              <w:top w:val="nil"/>
              <w:left w:val="nil"/>
              <w:bottom w:val="nil"/>
              <w:right w:val="nil"/>
            </w:tcBorders>
            <w:vAlign w:val="top"/>
          </w:tcPr>
          <w:p>
            <w:pPr>
              <w:tabs>
                <w:tab w:val="center" w:pos="1416"/>
              </w:tabs>
              <w:spacing w:before="0" w:after="0" w:line="259" w:lineRule="auto"/>
              <w:ind w:left="0" w:firstLine="0"/>
              <w:jc w:val="left"/>
            </w:pPr>
            <w:r>
              <w:rPr>
                <w:rFonts w:cs="Arial" w:hAnsi="Arial" w:eastAsia="Arial" w:ascii="Arial"/>
                <w:sz w:val="18"/>
              </w:rPr>
              <w:t xml:space="preserve">Date de début</w:t>
            </w:r>
            <w:r>
              <w:rPr>
                <w:rFonts w:cs="Arial" w:hAnsi="Arial" w:eastAsia="Arial" w:ascii="Arial"/>
                <w:sz w:val="18"/>
              </w:rPr>
              <w:t xml:space="preserve"> 	 </w:t>
            </w:r>
          </w:p>
        </w:tc>
        <w:tc>
          <w:tcPr>
            <w:tcW w:w="466"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r>
              <w:rPr>
                <w:rFonts w:cs="Arial" w:hAnsi="Arial" w:eastAsia="Arial" w:ascii="Arial"/>
                <w:sz w:val="18"/>
              </w:rPr>
              <w:t xml:space="preserve"> </w:t>
            </w:r>
          </w:p>
        </w:tc>
        <w:tc>
          <w:tcPr>
            <w:tcW w:w="1723" w:type="dxa"/>
            <w:tcBorders>
              <w:top w:val="nil"/>
              <w:left w:val="nil"/>
              <w:bottom w:val="nil"/>
              <w:right w:val="nil"/>
            </w:tcBorders>
            <w:vAlign w:val="top"/>
          </w:tcPr>
          <w:p>
            <w:pPr>
              <w:spacing w:before="0" w:after="0" w:line="259" w:lineRule="auto"/>
              <w:ind w:left="46" w:firstLine="0"/>
              <w:jc w:val="center"/>
            </w:pPr>
            <w:r>
              <w:rPr>
                <w:rFonts w:cs="Arial" w:hAnsi="Arial" w:eastAsia="Arial" w:ascii="Arial"/>
                <w:sz w:val="18"/>
              </w:rPr>
              <w:t xml:space="preserve">Novembre </w:t>
            </w:r>
            <w:r>
              <w:rPr>
                <w:rFonts w:cs="Arial" w:hAnsi="Arial" w:eastAsia="Arial" w:ascii="Arial"/>
                <w:sz w:val="18"/>
              </w:rPr>
              <w:t xml:space="preserve">2011</w:t>
            </w:r>
            <w:r>
              <w:rPr>
                <w:rFonts w:cs="Arial" w:hAnsi="Arial" w:eastAsia="Arial" w:ascii="Arial"/>
                <w:sz w:val="18"/>
              </w:rPr>
              <w:t xml:space="preserve"> </w:t>
            </w:r>
          </w:p>
        </w:tc>
      </w:tr>
    </w:tbl>
    <w:p>
      <w:pPr>
        <w:spacing w:before="0" w:after="0" w:line="259" w:lineRule="auto"/>
        <w:ind w:left="0" w:firstLine="0"/>
        <w:jc w:val="left"/>
      </w:pPr>
      <w:r>
        <w:rPr>
          <w:rFonts w:cs="Times New Roman" w:hAnsi="Times New Roman" w:eastAsia="Times New Roman" w:ascii="Times New Roman"/>
          <w:b w:val="1"/>
        </w:rPr>
        <w:t xml:space="preserve"> </w:t>
      </w:r>
    </w:p>
    <w:p>
      <w:pPr>
        <w:pStyle w:val="heading5"/>
        <w:spacing w:before="0" w:after="3" w:line="259" w:lineRule="auto"/>
        <w:ind w:left="-5"/>
      </w:pPr>
      <w:r>
        <w:rPr/>
        <w:t xml:space="preserve">CONTEXTE</w:t>
      </w:r>
      <w:r>
        <w:rPr>
          <w:u w:val="none" w:color="000000"/>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Le  projet de Consolidation de la Gouvernance Environnementale Locale est conçu dans le cadre de l’UNDAF, du CPD et du CPAP 2011</w:t>
      </w:r>
      <w:r>
        <w:rPr>
          <w:rFonts w:cs="Arial" w:hAnsi="Arial" w:eastAsia="Arial" w:ascii="Arial"/>
          <w:sz w:val="18"/>
        </w:rPr>
        <w:t xml:space="preserve">-</w:t>
      </w:r>
      <w:r>
        <w:rPr>
          <w:rFonts w:cs="Arial" w:hAnsi="Arial" w:eastAsia="Arial" w:ascii="Arial"/>
          <w:sz w:val="18"/>
        </w:rPr>
        <w:t xml:space="preserve">2015, et vient en appui à la mise en œuvre à la SCADD qui est l’instrument principal de la planification du développement économique et social du Gouvernement du Burkina Faso.</w:t>
      </w:r>
      <w:r>
        <w:rPr>
          <w:rFonts w:cs="Arial" w:hAnsi="Arial" w:eastAsia="Arial" w:ascii="Arial"/>
          <w:sz w:val="18"/>
        </w:rPr>
        <w:t xml:space="preserve"> </w:t>
      </w:r>
    </w:p>
    <w:p>
      <w:pPr>
        <w:spacing w:before="0" w:after="5"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Les deux principaux effets recherchés de ce sous programme sont que d’ici 2015, «</w:t>
      </w:r>
      <w:r>
        <w:rPr>
          <w:rFonts w:cs="Arial" w:hAnsi="Arial" w:eastAsia="Arial" w:ascii="Arial"/>
          <w:sz w:val="18"/>
        </w:rPr>
        <w:t xml:space="preserve"> </w:t>
      </w:r>
      <w:r>
        <w:rPr>
          <w:rFonts w:cs="Arial" w:hAnsi="Arial" w:eastAsia="Arial" w:ascii="Arial"/>
          <w:sz w:val="18"/>
        </w:rPr>
        <w:t xml:space="preserve">les structures nationales sont mieux outillées pour formuler, mettre en œuvre et suivre des politiques et programmes sectoriels en cohérence avec la SCADD et les OMD y compris les défis démographiques</w:t>
      </w:r>
      <w:r>
        <w:rPr>
          <w:rFonts w:cs="Arial" w:hAnsi="Arial" w:eastAsia="Arial" w:ascii="Arial"/>
          <w:sz w:val="18"/>
        </w:rPr>
        <w:t xml:space="preserve"> », </w:t>
      </w:r>
      <w:r>
        <w:rPr>
          <w:rFonts w:cs="Arial" w:hAnsi="Arial" w:eastAsia="Arial" w:ascii="Arial"/>
          <w:sz w:val="18"/>
        </w:rPr>
        <w:t xml:space="preserve">et que «</w:t>
      </w:r>
      <w:r>
        <w:rPr>
          <w:rFonts w:cs="Arial" w:hAnsi="Arial" w:eastAsia="Arial" w:ascii="Arial"/>
          <w:sz w:val="18"/>
        </w:rPr>
        <w:t xml:space="preserve"> </w:t>
      </w:r>
      <w:r>
        <w:rPr>
          <w:rFonts w:cs="Arial" w:hAnsi="Arial" w:eastAsia="Arial" w:ascii="Arial"/>
          <w:sz w:val="18"/>
        </w:rPr>
        <w:t xml:space="preserve">les structures nationales et les communautés de base pratiquent une approche intégrée de développement durable et de gestion des ressources naturelles.</w:t>
      </w:r>
      <w:r>
        <w:rPr>
          <w:rFonts w:cs="Arial" w:hAnsi="Arial" w:eastAsia="Arial" w:ascii="Arial"/>
          <w:sz w:val="18"/>
        </w:rPr>
        <w:t xml:space="preserve"> ». </w:t>
      </w:r>
      <w:r>
        <w:rPr>
          <w:rFonts w:cs="Arial" w:hAnsi="Arial" w:eastAsia="Arial" w:ascii="Arial"/>
          <w:sz w:val="18"/>
        </w:rPr>
        <w:t xml:space="preserve">a) Les structures centrales sont outillées pour assurer la prise en compte des principes du DD dans la mise en œuvre de la SCADD et des plans locaux de développement; b) Les informations pertinentes sur l’état de l’environnement sont disponibles et permettent d’assurer le suivi de la mise en œuvre des politiques environnementales au niveau décentralisé; c) Des plans locaux de développement  résilients aux changements climatiques et orientés vers une faible émission de GES et des chartes locales de gestion des RN sont adoptés; d) Les CT et les communautés ont accès aux sources de financement et aux technologies appropriés pour mettre en œuvre des plans locaux de développement  résilients aux changements climatiques et orientés vers une faible émission de GES.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7" w:line="259" w:lineRule="auto"/>
        <w:ind w:left="0" w:firstLine="0"/>
        <w:jc w:val="left"/>
      </w:pPr>
      <w:r>
        <w:rPr>
          <w:rFonts w:cs="Arial" w:hAnsi="Arial" w:eastAsia="Arial" w:ascii="Arial"/>
          <w:sz w:val="18"/>
        </w:rPr>
        <w:t xml:space="preserve"> </w:t>
      </w:r>
    </w:p>
    <w:p>
      <w:pPr>
        <w:spacing w:before="0" w:after="39" w:line="251" w:lineRule="auto"/>
        <w:ind w:left="-5" w:right="2"/>
      </w:pPr>
      <w:r>
        <w:rPr>
          <w:rFonts w:cs="Arial" w:hAnsi="Arial" w:eastAsia="Arial" w:ascii="Arial"/>
          <w:sz w:val="18"/>
        </w:rPr>
        <w:t xml:space="preserve">La stratégie de mise en œuvre du projet combine</w:t>
      </w:r>
      <w:r>
        <w:rPr>
          <w:rFonts w:cs="Arial" w:hAnsi="Arial" w:eastAsia="Arial" w:ascii="Arial"/>
          <w:sz w:val="18"/>
        </w:rPr>
        <w:t xml:space="preserve"> </w:t>
      </w:r>
      <w:r>
        <w:rPr>
          <w:rFonts w:cs="Arial" w:hAnsi="Arial" w:eastAsia="Arial" w:ascii="Arial"/>
          <w:sz w:val="18"/>
        </w:rPr>
        <w:t xml:space="preserve">; a) l’accompagnement d’un processus multi</w:t>
      </w:r>
      <w:r>
        <w:rPr>
          <w:rFonts w:cs="Arial" w:hAnsi="Arial" w:eastAsia="Arial" w:ascii="Arial"/>
          <w:sz w:val="18"/>
        </w:rPr>
        <w:t xml:space="preserve">-</w:t>
      </w:r>
      <w:r>
        <w:rPr>
          <w:rFonts w:cs="Arial" w:hAnsi="Arial" w:eastAsia="Arial" w:ascii="Arial"/>
          <w:sz w:val="18"/>
        </w:rPr>
        <w:t xml:space="preserve">acteurs</w:t>
      </w:r>
      <w:r>
        <w:rPr>
          <w:rFonts w:cs="Arial" w:hAnsi="Arial" w:eastAsia="Arial" w:ascii="Arial"/>
          <w:sz w:val="18"/>
        </w:rPr>
        <w:t xml:space="preserve"> </w:t>
      </w:r>
      <w:r>
        <w:rPr>
          <w:rFonts w:cs="Arial" w:hAnsi="Arial" w:eastAsia="Arial" w:ascii="Arial"/>
          <w:sz w:val="18"/>
        </w:rPr>
        <w:t xml:space="preserve">de développement des capacités; b) la construction d’un partenariat stratégique autour de l’appui aux initiatives des collectivités et communautés</w:t>
      </w:r>
      <w:r>
        <w:rPr>
          <w:rFonts w:cs="Arial" w:hAnsi="Arial" w:eastAsia="Arial" w:ascii="Arial"/>
          <w:sz w:val="18"/>
        </w:rPr>
        <w:t xml:space="preserve"> </w:t>
      </w:r>
      <w:r>
        <w:rPr>
          <w:rFonts w:cs="Arial" w:hAnsi="Arial" w:eastAsia="Arial" w:ascii="Arial"/>
          <w:sz w:val="18"/>
        </w:rPr>
        <w:t xml:space="preserve">; c) La prise en compte de l’équité homme</w:t>
      </w:r>
      <w:r>
        <w:rPr>
          <w:rFonts w:cs="Arial" w:hAnsi="Arial" w:eastAsia="Arial" w:ascii="Arial"/>
          <w:sz w:val="18"/>
        </w:rPr>
        <w:t xml:space="preserve">-</w:t>
      </w:r>
      <w:r>
        <w:rPr>
          <w:rFonts w:cs="Arial" w:hAnsi="Arial" w:eastAsia="Arial" w:ascii="Arial"/>
          <w:sz w:val="18"/>
        </w:rPr>
        <w:t xml:space="preserve">femme et d) la valorisation des acquis de certains projets structurant en cours.</w:t>
      </w:r>
      <w:r>
        <w:rPr>
          <w:rFonts w:cs="Arial" w:hAnsi="Arial" w:eastAsia="Arial" w:ascii="Arial"/>
          <w:sz w:val="18"/>
        </w:rPr>
        <w:t xml:space="preserve"> </w:t>
      </w:r>
    </w:p>
    <w:p>
      <w:pPr>
        <w:spacing w:before="0" w:after="0" w:line="259" w:lineRule="auto"/>
        <w:ind w:left="0" w:firstLine="0"/>
        <w:jc w:val="left"/>
      </w:pPr>
      <w:r>
        <w:rPr>
          <w:sz w:val="24"/>
        </w:rPr>
        <w:t xml:space="preserve"> </w:t>
      </w:r>
    </w:p>
    <w:p>
      <w:pPr>
        <w:pStyle w:val="heading5"/>
        <w:spacing w:before="0" w:after="3" w:line="259" w:lineRule="auto"/>
        <w:ind w:left="-5"/>
      </w:pPr>
      <w:r>
        <w:rPr/>
        <w:t xml:space="preserve">DESCRIPTION DES TACHES</w:t>
      </w:r>
      <w:r>
        <w:rPr>
          <w:rFonts w:cs="Times New Roman" w:hAnsi="Times New Roman" w:eastAsia="Times New Roman" w:ascii="Times New Roman"/>
          <w:sz w:val="24"/>
          <w:u w:val="none" w:color="000000"/>
        </w:rPr>
        <w:t xml:space="preserve"> </w:t>
      </w:r>
    </w:p>
    <w:p>
      <w:pPr>
        <w:spacing w:before="0" w:after="5" w:line="251" w:lineRule="auto"/>
        <w:ind w:left="-5" w:right="2"/>
      </w:pPr>
      <w:r>
        <w:rPr>
          <w:rFonts w:cs="Arial" w:hAnsi="Arial" w:eastAsia="Arial" w:ascii="Arial"/>
          <w:sz w:val="18"/>
        </w:rPr>
        <w:t xml:space="preserve">Sous la supervision directe</w:t>
      </w:r>
      <w:r>
        <w:rPr>
          <w:rFonts w:cs="Arial" w:hAnsi="Arial" w:eastAsia="Arial" w:ascii="Arial"/>
          <w:sz w:val="18"/>
        </w:rPr>
        <w:t xml:space="preserve"> </w:t>
      </w:r>
      <w:r>
        <w:rPr>
          <w:rFonts w:cs="Arial" w:hAnsi="Arial" w:eastAsia="Arial" w:ascii="Arial"/>
          <w:sz w:val="18"/>
        </w:rPr>
        <w:t xml:space="preserve">du coordonnateur du projet, et en étroite concertation avec les experts en suivi</w:t>
      </w:r>
      <w:r>
        <w:rPr>
          <w:rFonts w:cs="Arial" w:hAnsi="Arial" w:eastAsia="Arial" w:ascii="Arial"/>
          <w:sz w:val="18"/>
        </w:rPr>
        <w:t xml:space="preserve">-</w:t>
      </w:r>
      <w:r>
        <w:rPr>
          <w:rFonts w:cs="Arial" w:hAnsi="Arial" w:eastAsia="Arial" w:ascii="Arial"/>
          <w:sz w:val="18"/>
        </w:rPr>
        <w:t xml:space="preserve">évaluation de programmes qui soutiennent les collectivités l’expert(e)</w:t>
      </w:r>
      <w:r>
        <w:rPr>
          <w:rFonts w:cs="Arial" w:hAnsi="Arial" w:eastAsia="Arial" w:ascii="Arial"/>
          <w:sz w:val="18"/>
        </w:rPr>
        <w:t xml:space="preserve"> </w:t>
      </w:r>
      <w:r>
        <w:rPr>
          <w:rFonts w:cs="Arial" w:hAnsi="Arial" w:eastAsia="Arial" w:ascii="Arial"/>
          <w:sz w:val="18"/>
        </w:rPr>
        <w:t xml:space="preserve">en suivi </w:t>
      </w:r>
      <w:r>
        <w:rPr>
          <w:rFonts w:cs="Arial" w:hAnsi="Arial" w:eastAsia="Arial" w:ascii="Arial"/>
          <w:sz w:val="18"/>
        </w:rPr>
        <w:t xml:space="preserve">– </w:t>
      </w:r>
      <w:r>
        <w:rPr>
          <w:rFonts w:cs="Arial" w:hAnsi="Arial" w:eastAsia="Arial" w:ascii="Arial"/>
          <w:sz w:val="18"/>
        </w:rPr>
        <w:t xml:space="preserve">évaluation  sera chargé des tâches suivantes</w:t>
      </w:r>
      <w:r>
        <w:rPr>
          <w:rFonts w:cs="Arial" w:hAnsi="Arial" w:eastAsia="Arial" w:ascii="Arial"/>
          <w:sz w:val="18"/>
        </w:rPr>
        <w:t xml:space="preserve"> </w:t>
      </w:r>
      <w:r>
        <w:rPr>
          <w:rFonts w:cs="Arial" w:hAnsi="Arial" w:eastAsia="Arial" w:ascii="Arial"/>
          <w:sz w:val="18"/>
        </w:rPr>
        <w:t xml:space="preserve">: </w:t>
      </w:r>
      <w:r>
        <w:rPr>
          <w:rFonts w:cs="Arial" w:hAnsi="Arial" w:eastAsia="Arial" w:ascii="Arial"/>
          <w:sz w:val="18"/>
        </w:rPr>
        <w:t xml:space="preserve"> </w:t>
      </w:r>
    </w:p>
    <w:p>
      <w:pPr>
        <w:spacing w:before="0" w:after="15" w:line="239" w:lineRule="auto"/>
        <w:ind w:left="0" w:right="8639" w:firstLine="0"/>
        <w:jc w:val="left"/>
      </w:pPr>
      <w:r>
        <w:rPr>
          <w:rFonts w:cs="Arial" w:hAnsi="Arial" w:eastAsia="Arial" w:ascii="Arial"/>
          <w:color w:val="272627"/>
          <w:sz w:val="18"/>
        </w:rPr>
        <w:t xml:space="preserve"> </w:t>
      </w:r>
      <w:r>
        <w:rPr>
          <w:rFonts w:cs="Arial" w:hAnsi="Arial" w:eastAsia="Arial" w:ascii="Arial"/>
          <w:sz w:val="18"/>
        </w:rPr>
        <w:t xml:space="preserve"> </w:t>
      </w:r>
    </w:p>
    <w:p>
      <w:pPr>
        <w:spacing w:before="0" w:after="4" w:line="250" w:lineRule="auto"/>
        <w:ind w:left="-5"/>
        <w:jc w:val="left"/>
      </w:pPr>
      <w:r>
        <w:rPr>
          <w:rFonts w:cs="Arial" w:hAnsi="Arial" w:eastAsia="Arial" w:ascii="Arial"/>
          <w:i w:val="1"/>
          <w:sz w:val="18"/>
        </w:rPr>
        <w:t xml:space="preserve">Dans le domaine de l’appui au rapportage par les Conseils Régionaux et les conseils Municipaux</w:t>
      </w:r>
      <w:r>
        <w:rPr>
          <w:rFonts w:cs="Arial" w:hAnsi="Arial" w:eastAsia="Arial" w:ascii="Arial"/>
          <w:i w:val="1"/>
          <w:sz w:val="18"/>
        </w:rPr>
        <w:t xml:space="preserve"> </w:t>
      </w:r>
      <w:r>
        <w:rPr>
          <w:rFonts w:cs="Arial" w:hAnsi="Arial" w:eastAsia="Arial" w:ascii="Arial"/>
          <w:i w:val="1"/>
          <w:sz w:val="18"/>
        </w:rPr>
        <w:t xml:space="preserve">de l’avancement des</w:t>
      </w:r>
      <w:r>
        <w:rPr>
          <w:rFonts w:cs="Arial" w:hAnsi="Arial" w:eastAsia="Arial" w:ascii="Arial"/>
          <w:i w:val="1"/>
          <w:sz w:val="18"/>
        </w:rPr>
        <w:t xml:space="preserve"> </w:t>
      </w:r>
      <w:r>
        <w:rPr>
          <w:rFonts w:cs="Arial" w:hAnsi="Arial" w:eastAsia="Arial" w:ascii="Arial"/>
          <w:i w:val="1"/>
          <w:sz w:val="18"/>
        </w:rPr>
        <w:t xml:space="preserve">interventions placées sous leur responsabilité</w:t>
      </w:r>
      <w:r>
        <w:rPr>
          <w:rFonts w:cs="Arial" w:hAnsi="Arial" w:eastAsia="Arial" w:ascii="Arial"/>
          <w:i w:val="1"/>
          <w:sz w:val="18"/>
        </w:rPr>
        <w:t xml:space="preserve"> </w:t>
      </w:r>
      <w:r>
        <w:rPr>
          <w:rFonts w:cs="Arial" w:hAnsi="Arial" w:eastAsia="Arial" w:ascii="Arial"/>
          <w:i w:val="1"/>
          <w:sz w:val="18"/>
        </w:rPr>
        <w:t xml:space="preserve">:</w:t>
      </w:r>
      <w:r>
        <w:rPr>
          <w:rFonts w:cs="Arial" w:hAnsi="Arial" w:eastAsia="Arial" w:ascii="Arial"/>
          <w:i w:val="1"/>
          <w:sz w:val="18"/>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0"/>
        </w:numPr>
        <w:spacing w:before="0" w:after="26" w:line="251" w:lineRule="auto"/>
        <w:ind w:left="917" w:right="2" w:hanging="425"/>
      </w:pPr>
      <w:r>
        <w:rPr>
          <w:rFonts w:cs="Arial" w:hAnsi="Arial" w:eastAsia="Arial" w:ascii="Arial"/>
          <w:sz w:val="18"/>
        </w:rPr>
        <w:t xml:space="preserve">Assister  les responsables des collectivités</w:t>
      </w:r>
      <w:r>
        <w:rPr>
          <w:rFonts w:cs="Arial" w:hAnsi="Arial" w:eastAsia="Arial" w:ascii="Arial"/>
          <w:sz w:val="18"/>
        </w:rPr>
        <w:t xml:space="preserve"> </w:t>
      </w:r>
      <w:r>
        <w:rPr>
          <w:rFonts w:cs="Arial" w:hAnsi="Arial" w:eastAsia="Arial" w:ascii="Arial"/>
          <w:sz w:val="18"/>
        </w:rPr>
        <w:t xml:space="preserve">dans l’amélioration de leur cadre de rapportage, incluant la formulation d’indicateurs appropriés, la redéfinition des matrices et chronogrammes de rapportage</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Former régulièrement les responsables et les agents des structures concernées aux techniques de suivi</w:t>
      </w:r>
      <w:r>
        <w:rPr>
          <w:rFonts w:cs="Arial" w:hAnsi="Arial" w:eastAsia="Arial" w:ascii="Arial"/>
          <w:sz w:val="18"/>
        </w:rPr>
        <w:t xml:space="preserve"/>
      </w:r>
      <w:r>
        <w:rPr>
          <w:rFonts w:cs="Arial" w:hAnsi="Arial" w:eastAsia="Arial" w:ascii="Arial"/>
          <w:sz w:val="18"/>
        </w:rPr>
        <w:t xml:space="preserve">évaluation</w:t>
      </w:r>
      <w:r>
        <w:rPr>
          <w:rFonts w:cs="Arial" w:hAnsi="Arial" w:eastAsia="Arial" w:ascii="Arial"/>
          <w:sz w:val="18"/>
        </w:rPr>
        <w:t xml:space="preserve"> </w:t>
      </w:r>
      <w:r>
        <w:rPr>
          <w:rFonts w:cs="Arial" w:hAnsi="Arial" w:eastAsia="Arial" w:ascii="Arial"/>
          <w:sz w:val="18"/>
        </w:rPr>
        <w:t xml:space="preserve">et concevoir des guides méthodologiques pérennisant ces formations</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Apporter une assistance technique aux structures concernées dans la réalisation, selon les délais fixés par les chronogrammes, des rapports, notamment en ce qui concerne les objectifs des politiques faisant l’objet d’un appui spécifique de la sous</w:t>
      </w:r>
      <w:r>
        <w:rPr>
          <w:rFonts w:cs="Arial" w:hAnsi="Arial" w:eastAsia="Arial" w:ascii="Arial"/>
          <w:sz w:val="18"/>
        </w:rPr>
        <w:t xml:space="preserve">-</w:t>
      </w:r>
      <w:r>
        <w:rPr>
          <w:rFonts w:cs="Arial" w:hAnsi="Arial" w:eastAsia="Arial" w:ascii="Arial"/>
          <w:sz w:val="18"/>
        </w:rPr>
        <w:t xml:space="preserve">composante gouvernance politique</w:t>
      </w:r>
      <w:r>
        <w:rPr>
          <w:rFonts w:cs="Arial" w:hAnsi="Arial" w:eastAsia="Arial" w:ascii="Arial"/>
          <w:sz w:val="18"/>
        </w:rPr>
        <w:t xml:space="preserve"> </w:t>
      </w:r>
      <w:r>
        <w:rPr>
          <w:rFonts w:cs="Arial" w:hAnsi="Arial" w:eastAsia="Arial" w:ascii="Arial"/>
          <w:sz w:val="18"/>
        </w:rPr>
        <w:t xml:space="preserve">(Cf. tableau annexé aux présents TdR) </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Apporter une assistance de même nature pour tout autre programme ou projet, sur demande du directeur national du projet</w:t>
      </w:r>
      <w:r>
        <w:rPr>
          <w:rFonts w:cs="Arial" w:hAnsi="Arial" w:eastAsia="Arial" w:ascii="Arial"/>
          <w:sz w:val="18"/>
        </w:rPr>
        <w:t xml:space="preserve"> </w:t>
      </w:r>
    </w:p>
    <w:p>
      <w:pPr>
        <w:spacing w:before="0" w:after="0" w:line="259" w:lineRule="auto"/>
        <w:ind w:left="492" w:firstLine="0"/>
        <w:jc w:val="left"/>
      </w:pPr>
      <w:r>
        <w:rPr>
          <w:rFonts w:cs="Arial" w:hAnsi="Arial" w:eastAsia="Arial" w:ascii="Arial"/>
          <w:sz w:val="18"/>
        </w:rPr>
        <w:t xml:space="preserve"> </w:t>
      </w:r>
    </w:p>
    <w:p>
      <w:pPr>
        <w:spacing w:before="0" w:after="4" w:line="250" w:lineRule="auto"/>
        <w:ind w:left="-5"/>
        <w:jc w:val="left"/>
      </w:pPr>
      <w:r>
        <w:rPr>
          <w:rFonts w:cs="Arial" w:hAnsi="Arial" w:eastAsia="Arial" w:ascii="Arial"/>
          <w:i w:val="1"/>
          <w:sz w:val="18"/>
        </w:rPr>
        <w:t xml:space="preserve">Dans le domaine du suivi</w:t>
      </w:r>
      <w:r>
        <w:rPr>
          <w:rFonts w:cs="Arial" w:hAnsi="Arial" w:eastAsia="Arial" w:ascii="Arial"/>
          <w:i w:val="1"/>
          <w:sz w:val="18"/>
        </w:rPr>
        <w:t xml:space="preserve">-</w:t>
      </w:r>
      <w:r>
        <w:rPr>
          <w:rFonts w:cs="Arial" w:hAnsi="Arial" w:eastAsia="Arial" w:ascii="Arial"/>
          <w:i w:val="1"/>
          <w:sz w:val="18"/>
        </w:rPr>
        <w:t xml:space="preserve">évaluation des activités du projet</w:t>
      </w:r>
      <w:r>
        <w:rPr>
          <w:rFonts w:cs="Arial" w:hAnsi="Arial" w:eastAsia="Arial" w:ascii="Arial"/>
          <w:i w:val="1"/>
          <w:sz w:val="18"/>
        </w:rPr>
        <w:t xml:space="preserve">:</w:t>
      </w:r>
      <w:r>
        <w:rPr>
          <w:rFonts w:cs="Arial" w:hAnsi="Arial" w:eastAsia="Arial" w:ascii="Arial"/>
          <w:i w:val="1"/>
          <w:sz w:val="18"/>
        </w:rPr>
        <w:t xml:space="preserve"> </w:t>
      </w:r>
    </w:p>
    <w:p>
      <w:pPr>
        <w:spacing w:before="0" w:after="14" w:line="259" w:lineRule="auto"/>
        <w:ind w:left="0" w:firstLine="0"/>
        <w:jc w:val="left"/>
      </w:pPr>
      <w:r>
        <w:rPr>
          <w:rFonts w:cs="Arial" w:hAnsi="Arial" w:eastAsia="Arial" w:ascii="Arial"/>
          <w:sz w:val="18"/>
        </w:rPr>
        <w:t xml:space="preserve"> </w:t>
      </w:r>
    </w:p>
    <w:p>
      <w:pPr>
        <w:numPr>
          <w:ilvl w:val="0"/>
          <w:numId w:val="30"/>
        </w:numPr>
        <w:spacing w:before="0" w:after="6" w:line="252" w:lineRule="auto"/>
        <w:ind w:left="917" w:right="2" w:hanging="425"/>
      </w:pPr>
      <w:r>
        <w:rPr>
          <w:rFonts w:cs="Arial" w:hAnsi="Arial" w:eastAsia="Arial" w:ascii="Arial"/>
          <w:color w:val="272627"/>
          <w:sz w:val="18"/>
        </w:rPr>
        <w:t xml:space="preserve">Mettre systématiquement en place des cadres de suivi et élaborer un plan d’évaluation</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Appuyer le suivi de l’exécution des activités </w:t>
      </w:r>
      <w:r>
        <w:rPr>
          <w:rFonts w:cs="Arial" w:hAnsi="Arial" w:eastAsia="Arial" w:ascii="Arial"/>
          <w:sz w:val="18"/>
        </w:rPr>
        <w:t xml:space="preserve"> </w:t>
      </w:r>
    </w:p>
    <w:p>
      <w:pPr>
        <w:numPr>
          <w:ilvl w:val="0"/>
          <w:numId w:val="30"/>
        </w:numPr>
        <w:spacing w:before="0" w:after="6" w:line="252" w:lineRule="auto"/>
        <w:ind w:left="917" w:right="2" w:hanging="425"/>
      </w:pPr>
      <w:r>
        <w:rPr>
          <w:rFonts w:cs="Arial" w:hAnsi="Arial" w:eastAsia="Arial" w:ascii="Arial"/>
          <w:color w:val="272627"/>
          <w:sz w:val="18"/>
        </w:rPr>
        <w:t xml:space="preserve">Garantir la qualité des activités de suivi et d’évaluation et fournir les orientations nécessaires</w:t>
      </w:r>
      <w:r>
        <w:rPr>
          <w:rFonts w:cs="Arial" w:hAnsi="Arial" w:eastAsia="Arial" w:ascii="Arial"/>
          <w:sz w:val="18"/>
        </w:rPr>
        <w:t xml:space="preserve"> </w:t>
      </w:r>
      <w:r>
        <w:rPr>
          <w:rFonts w:cs="Arial" w:hAnsi="Arial" w:eastAsia="Arial" w:ascii="Arial"/>
          <w:sz w:val="18"/>
        </w:rPr>
        <w:t xml:space="preserve">Appuyer la préparation des plans de travail ainsi que les programmes d’activités des produits</w:t>
      </w:r>
      <w:r>
        <w:rPr>
          <w:rFonts w:cs="Arial" w:hAnsi="Arial" w:eastAsia="Arial" w:ascii="Arial"/>
          <w:sz w:val="18"/>
        </w:rPr>
        <w:t xml:space="preserve"> ; </w:t>
      </w:r>
    </w:p>
    <w:p>
      <w:pPr>
        <w:numPr>
          <w:ilvl w:val="0"/>
          <w:numId w:val="30"/>
        </w:numPr>
        <w:spacing w:before="0" w:after="6" w:line="252" w:lineRule="auto"/>
        <w:ind w:left="917" w:right="2" w:hanging="425"/>
      </w:pPr>
      <w:r>
        <w:rPr>
          <w:rFonts w:cs="Arial" w:hAnsi="Arial" w:eastAsia="Arial" w:ascii="Arial"/>
          <w:color w:val="272627"/>
          <w:sz w:val="18"/>
        </w:rPr>
        <w:t xml:space="preserve">Refléter la manière avec laquelle les résultats réalisés traitent la question de l’égalité entre les sexes et les intérêts et droits des groupes les plus vulnérables et marginalisés de la société</w:t>
      </w:r>
      <w:r>
        <w:rPr>
          <w:rFonts w:cs="Arial" w:hAnsi="Arial" w:eastAsia="Arial" w:ascii="Arial"/>
          <w:sz w:val="18"/>
        </w:rPr>
        <w:t xml:space="preserve"> </w:t>
      </w:r>
      <w:r>
        <w:rPr>
          <w:rFonts w:cs="Arial" w:hAnsi="Arial" w:eastAsia="Arial" w:ascii="Arial"/>
          <w:sz w:val="18"/>
        </w:rPr>
        <w:t xml:space="preserve">Participer à la mise en place et au respect des méthodes de travail</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S’assurer que les plans de travail sont bien suivis</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Suivre l’exécution des activités retenues dans le cadre de la mise en œuvre du projet</w:t>
      </w:r>
      <w:r>
        <w:rPr>
          <w:rFonts w:cs="Arial" w:hAnsi="Arial" w:eastAsia="Arial" w:ascii="Arial"/>
          <w:sz w:val="18"/>
        </w:rPr>
        <w:t xml:space="preserve"> ; </w:t>
      </w:r>
    </w:p>
    <w:p>
      <w:pPr>
        <w:numPr>
          <w:ilvl w:val="0"/>
          <w:numId w:val="30"/>
        </w:numPr>
        <w:spacing w:before="0" w:after="5" w:line="251" w:lineRule="auto"/>
        <w:ind w:left="917" w:right="2" w:hanging="425"/>
      </w:pPr>
      <w:r>
        <w:rPr>
          <w:rFonts w:cs="Arial" w:hAnsi="Arial" w:eastAsia="Arial" w:ascii="Arial"/>
          <w:sz w:val="18"/>
        </w:rPr>
        <w:t xml:space="preserve">Assurer le rapportage des activités du projet</w:t>
      </w:r>
      <w:r>
        <w:rPr>
          <w:rFonts w:cs="Arial" w:hAnsi="Arial" w:eastAsia="Arial" w:ascii="Arial"/>
          <w:sz w:val="18"/>
        </w:rPr>
        <w:t xml:space="preserve"> </w:t>
      </w:r>
      <w:r>
        <w:rPr>
          <w:rFonts w:cs="Arial" w:hAnsi="Arial" w:eastAsia="Arial" w:ascii="Arial"/>
          <w:sz w:val="18"/>
        </w:rPr>
        <w:t xml:space="preserve">suivant la fréquence accordée avec le coordonnateur technique national</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Participer aux différentes rencontres relatives à la vie du projet</w:t>
      </w:r>
      <w:r>
        <w:rPr>
          <w:rFonts w:cs="Arial" w:hAnsi="Arial" w:eastAsia="Arial" w:ascii="Arial"/>
          <w:sz w:val="18"/>
        </w:rPr>
        <w:t xml:space="preserve"> </w:t>
      </w:r>
      <w:r>
        <w:rPr>
          <w:rFonts w:cs="Arial" w:hAnsi="Arial" w:eastAsia="Arial" w:ascii="Arial"/>
          <w:sz w:val="18"/>
        </w:rPr>
        <w:t xml:space="preserve">(comité de pilotage, réunion avec les ministères bénéficiaires, revues tripartites, etc.)</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Appuyer la préparation du projet pour les audits et les évaluations</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Participer à l’évaluation et assurer le suivi des activités du projet</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Appuyer le service d’appui au projet du PNUD dans le domaine du suivi de la préparation des plans d’achats de du projet</w:t>
      </w:r>
      <w:r>
        <w:rPr>
          <w:rFonts w:cs="Arial" w:hAnsi="Arial" w:eastAsia="Arial" w:ascii="Arial"/>
          <w:sz w:val="18"/>
        </w:rPr>
        <w:t xml:space="preserve"> </w:t>
      </w:r>
      <w:r>
        <w:rPr>
          <w:rFonts w:cs="Arial" w:hAnsi="Arial" w:eastAsia="Arial" w:ascii="Arial"/>
          <w:sz w:val="18"/>
        </w:rPr>
        <w:t xml:space="preserve">et s’assurer de son exécution</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Préparer des fiches techniques de suivi du projet et examiner les rapports de progrès des produits</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Participer à la préparation des différents rapports de l’exécution (rapports trimestriels et  annuels);</w:t>
      </w:r>
      <w:r>
        <w:rPr>
          <w:rFonts w:cs="Arial" w:hAnsi="Arial" w:eastAsia="Arial" w:ascii="Arial"/>
          <w:sz w:val="18"/>
        </w:rPr>
        <w:t xml:space="preserve"> </w:t>
      </w:r>
    </w:p>
    <w:p>
      <w:pPr>
        <w:numPr>
          <w:ilvl w:val="0"/>
          <w:numId w:val="30"/>
        </w:numPr>
        <w:spacing w:before="0" w:after="6" w:line="252" w:lineRule="auto"/>
        <w:ind w:left="917" w:right="2" w:hanging="425"/>
      </w:pPr>
      <w:r>
        <w:rPr>
          <w:rFonts w:cs="Arial" w:hAnsi="Arial" w:eastAsia="Arial" w:ascii="Arial"/>
          <w:color w:val="272627"/>
          <w:sz w:val="18"/>
        </w:rPr>
        <w:t xml:space="preserve">Déterminer tous les enseignements à tirer et toutes les bonnes pratiques à suivre</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Appuyer la mise à jour du site web du projet</w:t>
      </w:r>
      <w:r>
        <w:rPr>
          <w:rFonts w:cs="Arial" w:hAnsi="Arial" w:eastAsia="Arial" w:ascii="Arial"/>
          <w:sz w:val="18"/>
        </w:rPr>
        <w:t xml:space="preserve"> </w:t>
      </w:r>
    </w:p>
    <w:p>
      <w:pPr>
        <w:numPr>
          <w:ilvl w:val="0"/>
          <w:numId w:val="30"/>
        </w:numPr>
        <w:spacing w:before="0" w:after="5" w:line="251" w:lineRule="auto"/>
        <w:ind w:left="917" w:right="2" w:hanging="425"/>
      </w:pPr>
      <w:r>
        <w:rPr>
          <w:rFonts w:cs="Arial" w:hAnsi="Arial" w:eastAsia="Arial" w:ascii="Arial"/>
          <w:sz w:val="18"/>
        </w:rPr>
        <w:t xml:space="preserve">Exécuter toutes autres tâches conformes à son profil et demandées par le  Coordonnateur.</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pStyle w:val="heading5"/>
        <w:spacing w:before="0" w:after="3" w:line="259" w:lineRule="auto"/>
        <w:ind w:left="-5"/>
      </w:pPr>
      <w:r>
        <w:rPr/>
        <w:t xml:space="preserve">QUALIFICATIONS</w:t>
      </w:r>
      <w:r>
        <w:rPr>
          <w:u w:val="none" w:color="000000"/>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Diplôme Universitaire, niveau Maîtrise ou plus en socio</w:t>
      </w:r>
      <w:r>
        <w:rPr>
          <w:rFonts w:cs="Arial" w:hAnsi="Arial" w:eastAsia="Arial" w:ascii="Arial"/>
          <w:sz w:val="18"/>
        </w:rPr>
        <w:t xml:space="preserve">-</w:t>
      </w:r>
      <w:r>
        <w:rPr>
          <w:rFonts w:cs="Arial" w:hAnsi="Arial" w:eastAsia="Arial" w:ascii="Arial"/>
          <w:sz w:val="18"/>
        </w:rPr>
        <w:t xml:space="preserve">économie (de préférence dans le domaine, de la gestion des projets) ou équivalent</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justifier d’au moins 6</w:t>
      </w:r>
      <w:r>
        <w:rPr>
          <w:rFonts w:cs="Arial" w:hAnsi="Arial" w:eastAsia="Arial" w:ascii="Arial"/>
          <w:sz w:val="18"/>
        </w:rPr>
        <w:t xml:space="preserve"> </w:t>
      </w:r>
      <w:r>
        <w:rPr>
          <w:rFonts w:cs="Arial" w:hAnsi="Arial" w:eastAsia="Arial" w:ascii="Arial"/>
          <w:sz w:val="18"/>
        </w:rPr>
        <w:t xml:space="preserve">ans d’expériences professionnelles dans la planification, le suivi et l’évaluation axé sur les résultats de développement</w:t>
      </w:r>
      <w:r>
        <w:rPr>
          <w:rFonts w:cs="Arial" w:hAnsi="Arial" w:eastAsia="Arial" w:ascii="Arial"/>
          <w:sz w:val="18"/>
        </w:rPr>
        <w:t xml:space="preserve"> ; </w:t>
      </w:r>
    </w:p>
    <w:p>
      <w:pPr>
        <w:numPr>
          <w:ilvl w:val="0"/>
          <w:numId w:val="31"/>
        </w:numPr>
        <w:spacing w:before="0" w:after="5" w:line="251" w:lineRule="auto"/>
        <w:ind w:left="360" w:right="2" w:hanging="360"/>
      </w:pPr>
      <w:r>
        <w:rPr>
          <w:rFonts w:cs="Arial" w:hAnsi="Arial" w:eastAsia="Arial" w:ascii="Arial"/>
          <w:sz w:val="18"/>
        </w:rPr>
        <w:t xml:space="preserve">Familiarité avec les institutions ou matières concernées par le programme</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Posséder une forte expérience à tous les niveaux de la conception, de l’exécution, de l’analyse, de la gestion et de la dissémination pratique des</w:t>
      </w:r>
      <w:r>
        <w:rPr>
          <w:rFonts w:cs="Arial" w:hAnsi="Arial" w:eastAsia="Arial" w:ascii="Arial"/>
          <w:sz w:val="18"/>
        </w:rPr>
        <w:t xml:space="preserve"> </w:t>
      </w:r>
      <w:r>
        <w:rPr>
          <w:rFonts w:cs="Arial" w:hAnsi="Arial" w:eastAsia="Arial" w:ascii="Arial"/>
          <w:sz w:val="18"/>
        </w:rPr>
        <w:t xml:space="preserve">systèmes de suivi évaluation</w:t>
      </w:r>
      <w:r>
        <w:rPr>
          <w:rFonts w:cs="Arial" w:hAnsi="Arial" w:eastAsia="Arial" w:ascii="Arial"/>
          <w:sz w:val="18"/>
        </w:rPr>
        <w:t xml:space="preserve"> </w:t>
      </w:r>
      <w:r>
        <w:rPr>
          <w:rFonts w:cs="Arial" w:hAnsi="Arial" w:eastAsia="Arial" w:ascii="Arial"/>
          <w:sz w:val="18"/>
        </w:rPr>
        <w:t xml:space="preserve">qui prend en compte le genre</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Posséder une expérience dans l’utilisation des méthodes rapides et participatives, de la conception des études quantitatives, de l’échantillonnage et d’analyse de données</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Être familier avec les procédures du Gouvernement et du PNUD en matière de gestion de programmes/projets</w:t>
      </w:r>
      <w:r>
        <w:rPr>
          <w:rFonts w:cs="Arial" w:hAnsi="Arial" w:eastAsia="Arial" w:ascii="Arial"/>
          <w:sz w:val="18"/>
        </w:rPr>
        <w:t xml:space="preserve">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Avoir travaillé pour un projet du SNU</w:t>
      </w:r>
      <w:r>
        <w:rPr>
          <w:rFonts w:cs="Arial" w:hAnsi="Arial" w:eastAsia="Arial" w:ascii="Arial"/>
          <w:sz w:val="18"/>
        </w:rPr>
        <w:t xml:space="preserve"> </w:t>
      </w:r>
      <w:r>
        <w:rPr>
          <w:rFonts w:cs="Arial" w:hAnsi="Arial" w:eastAsia="Arial" w:ascii="Arial"/>
          <w:sz w:val="18"/>
        </w:rPr>
        <w:t xml:space="preserve">pendant au moins 3 ans</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Avoir une parfaite maîtrise de la langue française (surtout sur le plan rédactionnel) ainsi qu’un bon usage de l’anglais</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Avoir une bonne connaissance de l’outil informatique notamment les logiciels de traitement de données</w:t>
      </w:r>
      <w:r>
        <w:rPr>
          <w:rFonts w:cs="Arial" w:hAnsi="Arial" w:eastAsia="Arial" w:ascii="Arial"/>
          <w:sz w:val="18"/>
        </w:rPr>
        <w:t xml:space="preserve"> </w:t>
      </w:r>
    </w:p>
    <w:p>
      <w:pPr>
        <w:numPr>
          <w:ilvl w:val="0"/>
          <w:numId w:val="31"/>
        </w:numPr>
        <w:spacing w:before="0" w:after="5" w:line="251" w:lineRule="auto"/>
        <w:ind w:left="360" w:right="2" w:hanging="360"/>
      </w:pPr>
      <w:r>
        <w:rPr>
          <w:rFonts w:cs="Arial" w:hAnsi="Arial" w:eastAsia="Arial" w:ascii="Arial"/>
          <w:sz w:val="18"/>
        </w:rPr>
        <w:t xml:space="preserve">La connaissance d’un logiciel de gestion des projets serait un avantage</w:t>
      </w:r>
      <w:r>
        <w:rPr>
          <w:rFonts w:cs="Arial" w:hAnsi="Arial" w:eastAsia="Arial" w:ascii="Arial"/>
          <w:sz w:val="18"/>
        </w:rPr>
        <w:t xml:space="preserve">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Être capable de travailler sous pression et en équipe.</w:t>
      </w:r>
      <w:r>
        <w:rPr>
          <w:rFonts w:cs="Arial" w:hAnsi="Arial" w:eastAsia="Arial" w:ascii="Arial"/>
          <w:sz w:val="18"/>
        </w:rPr>
        <w:t xml:space="preserve"> </w:t>
      </w:r>
    </w:p>
    <w:p>
      <w:pPr>
        <w:spacing w:before="0" w:after="19"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Times New Roman" w:hAnsi="Times New Roman" w:eastAsia="Times New Roman" w:ascii="Times New Roman"/>
          <w:b w:val="1"/>
        </w:rPr>
        <w:t xml:space="preserve"> 	 </w:t>
      </w:r>
      <w:r>
        <w:br w:type="page"/>
      </w:r>
    </w:p>
    <w:p>
      <w:pPr>
        <w:spacing w:before="0" w:after="7" w:line="259" w:lineRule="auto"/>
        <w:ind w:left="360" w:firstLine="0"/>
        <w:jc w:val="left"/>
      </w:pPr>
      <w:r>
        <w:rPr>
          <w:rFonts w:cs="Times New Roman" w:hAnsi="Times New Roman" w:eastAsia="Times New Roman" w:ascii="Times New Roman"/>
          <w:b w:val="1"/>
        </w:rPr>
        <w:t xml:space="preserve"> </w:t>
      </w:r>
    </w:p>
    <w:p>
      <w:pPr>
        <w:pStyle w:val="heading4"/>
        <w:pBdr>
          <w:top w:val="single" w:color="000000" w:sz="4"/>
          <w:left w:val="single" w:color="000000" w:sz="4"/>
          <w:bottom w:val="single" w:color="000000" w:sz="4"/>
          <w:right w:val="single" w:color="000000" w:sz="4"/>
        </w:pBdr>
        <w:spacing w:before="0" w:after="0" w:line="259" w:lineRule="auto"/>
        <w:ind w:left="364" w:right="360"/>
        <w:jc w:val="center"/>
      </w:pPr>
      <w:r>
        <w:rPr>
          <w:rFonts w:cs="Times New Roman" w:hAnsi="Times New Roman" w:eastAsia="Times New Roman" w:ascii="Times New Roman"/>
          <w:b w:val="1"/>
          <w:u w:val="none" w:color="000000"/>
        </w:rPr>
        <w:t xml:space="preserve">GESTIONNAIRE</w:t>
      </w:r>
      <w:r>
        <w:rPr>
          <w:rFonts w:cs="Times New Roman" w:hAnsi="Times New Roman" w:eastAsia="Times New Roman" w:ascii="Times New Roman"/>
          <w:b w:val="1"/>
          <w:u w:val="none" w:color="000000"/>
        </w:rPr>
        <w:t xml:space="preserve">-</w:t>
      </w:r>
      <w:r>
        <w:rPr>
          <w:rFonts w:cs="Times New Roman" w:hAnsi="Times New Roman" w:eastAsia="Times New Roman" w:ascii="Times New Roman"/>
          <w:b w:val="1"/>
          <w:u w:val="none" w:color="000000"/>
        </w:rPr>
        <w:t xml:space="preserve">COMPTABLE</w:t>
      </w:r>
      <w:r>
        <w:rPr>
          <w:rFonts w:cs="Times New Roman" w:hAnsi="Times New Roman" w:eastAsia="Times New Roman" w:ascii="Times New Roman"/>
          <w:b w:val="1"/>
          <w:u w:val="none" w:color="000000"/>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5954"/>
      </w:pPr>
      <w:r>
        <w:rPr>
          <w:rFonts w:cs="Arial" w:hAnsi="Arial" w:eastAsia="Arial" w:ascii="Arial"/>
          <w:sz w:val="18"/>
        </w:rPr>
        <w:t xml:space="preserve">Lieu d’affectation</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r>
        <w:rPr>
          <w:rFonts w:cs="Arial" w:hAnsi="Arial" w:eastAsia="Arial" w:ascii="Arial"/>
          <w:sz w:val="18"/>
        </w:rPr>
        <w:t xml:space="preserve">Ouagadougou</w:t>
      </w:r>
      <w:r>
        <w:rPr>
          <w:rFonts w:cs="Arial" w:hAnsi="Arial" w:eastAsia="Arial" w:ascii="Arial"/>
          <w:sz w:val="18"/>
        </w:rPr>
        <w:t xml:space="preserve"> </w:t>
      </w:r>
      <w:r>
        <w:rPr>
          <w:rFonts w:cs="Arial" w:hAnsi="Arial" w:eastAsia="Arial" w:ascii="Arial"/>
          <w:sz w:val="18"/>
        </w:rPr>
        <w:t xml:space="preserve">Durée de l’engagement</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r>
        <w:rPr>
          <w:rFonts w:cs="Arial" w:hAnsi="Arial" w:eastAsia="Arial" w:ascii="Arial"/>
          <w:sz w:val="18"/>
        </w:rPr>
        <w:t xml:space="preserve">1 an renouvelable</w:t>
      </w: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Date de début</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r>
        <w:rPr>
          <w:rFonts w:cs="Arial" w:hAnsi="Arial" w:eastAsia="Arial" w:ascii="Arial"/>
          <w:sz w:val="18"/>
        </w:rPr>
        <w:t xml:space="preserve">Janvier</w:t>
      </w:r>
      <w:r>
        <w:rPr>
          <w:rFonts w:cs="Arial" w:hAnsi="Arial" w:eastAsia="Arial" w:ascii="Arial"/>
          <w:sz w:val="18"/>
        </w:rPr>
        <w:t xml:space="preserve"> </w:t>
      </w:r>
      <w:r>
        <w:rPr>
          <w:rFonts w:cs="Arial" w:hAnsi="Arial" w:eastAsia="Arial" w:ascii="Arial"/>
          <w:sz w:val="18"/>
        </w:rPr>
        <w:t xml:space="preserve">2011</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pStyle w:val="heading5"/>
        <w:spacing w:before="0" w:after="3" w:line="259" w:lineRule="auto"/>
        <w:ind w:left="-5"/>
      </w:pPr>
      <w:r>
        <w:rPr/>
        <w:t xml:space="preserve">CONTEXTE</w:t>
      </w:r>
      <w:r>
        <w:rPr>
          <w:u w:val="none" w:color="000000"/>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Le  projet de Consolidation de la Gouvernance Environnementale Locale est conçu dans le cadre de l’UNDAF, du CPD et du CPAP 2011</w:t>
      </w:r>
      <w:r>
        <w:rPr>
          <w:rFonts w:cs="Arial" w:hAnsi="Arial" w:eastAsia="Arial" w:ascii="Arial"/>
          <w:sz w:val="18"/>
        </w:rPr>
        <w:t xml:space="preserve">-</w:t>
      </w:r>
      <w:r>
        <w:rPr>
          <w:rFonts w:cs="Arial" w:hAnsi="Arial" w:eastAsia="Arial" w:ascii="Arial"/>
          <w:sz w:val="18"/>
        </w:rPr>
        <w:t xml:space="preserve">2015, et vient en appui à la mise en œuvre à la SCADD qui est l’instrument principal de la planification du développement économique et social du Gouvernement du Burkina Faso.</w:t>
      </w:r>
      <w:r>
        <w:rPr>
          <w:rFonts w:cs="Arial" w:hAnsi="Arial" w:eastAsia="Arial" w:ascii="Arial"/>
          <w:sz w:val="18"/>
        </w:rPr>
        <w:t xml:space="preserve"> </w:t>
      </w:r>
    </w:p>
    <w:p>
      <w:pPr>
        <w:spacing w:before="0" w:after="5"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Les deux principaux effets recherchés de ce sous programme sont que d’ici 2015, «</w:t>
      </w:r>
      <w:r>
        <w:rPr>
          <w:rFonts w:cs="Arial" w:hAnsi="Arial" w:eastAsia="Arial" w:ascii="Arial"/>
          <w:sz w:val="18"/>
        </w:rPr>
        <w:t xml:space="preserve"> </w:t>
      </w:r>
      <w:r>
        <w:rPr>
          <w:rFonts w:cs="Arial" w:hAnsi="Arial" w:eastAsia="Arial" w:ascii="Arial"/>
          <w:sz w:val="18"/>
        </w:rPr>
        <w:t xml:space="preserve">les structures nationales sont mieux outillées pour formuler, mettre en œuvre et suivre des politiques et programmes sectoriels en cohérence avec la SCADD et les OMD y compris les défis démographiques</w:t>
      </w:r>
      <w:r>
        <w:rPr>
          <w:rFonts w:cs="Arial" w:hAnsi="Arial" w:eastAsia="Arial" w:ascii="Arial"/>
          <w:sz w:val="18"/>
        </w:rPr>
        <w:t xml:space="preserve"> », </w:t>
      </w:r>
      <w:r>
        <w:rPr>
          <w:rFonts w:cs="Arial" w:hAnsi="Arial" w:eastAsia="Arial" w:ascii="Arial"/>
          <w:sz w:val="18"/>
        </w:rPr>
        <w:t xml:space="preserve">et que «</w:t>
      </w:r>
      <w:r>
        <w:rPr>
          <w:rFonts w:cs="Arial" w:hAnsi="Arial" w:eastAsia="Arial" w:ascii="Arial"/>
          <w:sz w:val="18"/>
        </w:rPr>
        <w:t xml:space="preserve"> </w:t>
      </w:r>
      <w:r>
        <w:rPr>
          <w:rFonts w:cs="Arial" w:hAnsi="Arial" w:eastAsia="Arial" w:ascii="Arial"/>
          <w:sz w:val="18"/>
        </w:rPr>
        <w:t xml:space="preserve">les structures nationales et les communautés de base pratiquent une approche intégrée de développement durable et de gestion des ressources naturelles.</w:t>
      </w:r>
      <w:r>
        <w:rPr>
          <w:rFonts w:cs="Arial" w:hAnsi="Arial" w:eastAsia="Arial" w:ascii="Arial"/>
          <w:sz w:val="18"/>
        </w:rPr>
        <w:t xml:space="preserve"> ». </w:t>
      </w:r>
      <w:r>
        <w:rPr>
          <w:rFonts w:cs="Arial" w:hAnsi="Arial" w:eastAsia="Arial" w:ascii="Arial"/>
          <w:sz w:val="18"/>
        </w:rPr>
        <w:t xml:space="preserve">a) Les structures centrales sont outillées pour assurer la prise en compte des principes du DD dans la mise en œuvre de la SCADD et des plans locaux de développement; b) Les informations pertinentes sur l’état de l’environnement sont disponibles et permettent d’assurer le suivi de la mise en œuvre des politiques environnementales au niveau décentralisé; c) Des plans locaux de développement  résilients aux changements climatiques et orientés vers une faible émission de GES et des chartes locales de gestion des RN sont adoptés; d) Les CT et les communautés ont accès aux sources de financement et aux technologies appropriés pour mettre en œuvre des plans locaux de développement  résilients aux changements climatiques et orientés vers une faible émission de GES.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1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La stratégie de mise en œuvre du projet combine</w:t>
      </w:r>
      <w:r>
        <w:rPr>
          <w:rFonts w:cs="Arial" w:hAnsi="Arial" w:eastAsia="Arial" w:ascii="Arial"/>
          <w:sz w:val="18"/>
        </w:rPr>
        <w:t xml:space="preserve"> </w:t>
      </w:r>
      <w:r>
        <w:rPr>
          <w:rFonts w:cs="Arial" w:hAnsi="Arial" w:eastAsia="Arial" w:ascii="Arial"/>
          <w:sz w:val="18"/>
        </w:rPr>
        <w:t xml:space="preserve">; a) l’accompagnement d’un processus multi</w:t>
      </w:r>
      <w:r>
        <w:rPr>
          <w:rFonts w:cs="Arial" w:hAnsi="Arial" w:eastAsia="Arial" w:ascii="Arial"/>
          <w:sz w:val="18"/>
        </w:rPr>
        <w:t xml:space="preserve">-</w:t>
      </w:r>
      <w:r>
        <w:rPr>
          <w:rFonts w:cs="Arial" w:hAnsi="Arial" w:eastAsia="Arial" w:ascii="Arial"/>
          <w:sz w:val="18"/>
        </w:rPr>
        <w:t xml:space="preserve">acteurs</w:t>
      </w:r>
      <w:r>
        <w:rPr>
          <w:rFonts w:cs="Arial" w:hAnsi="Arial" w:eastAsia="Arial" w:ascii="Arial"/>
          <w:sz w:val="18"/>
        </w:rPr>
        <w:t xml:space="preserve"> </w:t>
      </w:r>
      <w:r>
        <w:rPr>
          <w:rFonts w:cs="Arial" w:hAnsi="Arial" w:eastAsia="Arial" w:ascii="Arial"/>
          <w:sz w:val="18"/>
        </w:rPr>
        <w:t xml:space="preserve">de développement des capacités; b) la construction d’un partenariat stratégique autour de l’appui aux initiatives des collectivités et communautés</w:t>
      </w:r>
      <w:r>
        <w:rPr>
          <w:rFonts w:cs="Arial" w:hAnsi="Arial" w:eastAsia="Arial" w:ascii="Arial"/>
          <w:sz w:val="18"/>
        </w:rPr>
        <w:t xml:space="preserve"> </w:t>
      </w:r>
      <w:r>
        <w:rPr>
          <w:rFonts w:cs="Arial" w:hAnsi="Arial" w:eastAsia="Arial" w:ascii="Arial"/>
          <w:sz w:val="18"/>
        </w:rPr>
        <w:t xml:space="preserve">; c) La prise en compte de l’équité homme</w:t>
      </w:r>
      <w:r>
        <w:rPr>
          <w:rFonts w:cs="Arial" w:hAnsi="Arial" w:eastAsia="Arial" w:ascii="Arial"/>
          <w:sz w:val="18"/>
        </w:rPr>
        <w:t xml:space="preserve">-</w:t>
      </w:r>
      <w:r>
        <w:rPr>
          <w:rFonts w:cs="Arial" w:hAnsi="Arial" w:eastAsia="Arial" w:ascii="Arial"/>
          <w:sz w:val="18"/>
        </w:rPr>
        <w:t xml:space="preserve">femme et d) la valorisation des acquis de certains projets structurant en cours.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tabs>
          <w:tab w:val="center" w:pos="2833"/>
        </w:tabs>
        <w:spacing w:before="0" w:after="3" w:line="259" w:lineRule="auto"/>
        <w:ind w:left="-15" w:firstLine="0"/>
        <w:jc w:val="left"/>
      </w:pPr>
      <w:r>
        <w:rPr>
          <w:rFonts w:cs="Arial" w:hAnsi="Arial" w:eastAsia="Arial" w:ascii="Arial"/>
          <w:sz w:val="18"/>
          <w:u w:val="single" w:color="000000"/>
        </w:rPr>
        <w:t xml:space="preserve">DESCRIPTION DES TACHES</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Sous la supervision directe du Coordonnateur</w:t>
      </w:r>
      <w:r>
        <w:rPr>
          <w:rFonts w:cs="Arial" w:hAnsi="Arial" w:eastAsia="Arial" w:ascii="Arial"/>
          <w:sz w:val="18"/>
        </w:rPr>
        <w:t xml:space="preserve">,</w:t>
      </w:r>
      <w:r>
        <w:rPr>
          <w:rFonts w:cs="Arial" w:hAnsi="Arial" w:eastAsia="Arial" w:ascii="Arial"/>
          <w:sz w:val="18"/>
        </w:rPr>
        <w:t xml:space="preserve"> </w:t>
      </w:r>
      <w:r>
        <w:rPr>
          <w:rFonts w:cs="Arial" w:hAnsi="Arial" w:eastAsia="Arial" w:ascii="Arial"/>
          <w:sz w:val="18"/>
        </w:rPr>
        <w:t xml:space="preserve">en collaboration avec les autres membres de l’Unité de gestion, le/la gestionnaire</w:t>
      </w:r>
      <w:r>
        <w:rPr>
          <w:rFonts w:cs="Arial" w:hAnsi="Arial" w:eastAsia="Arial" w:ascii="Arial"/>
          <w:sz w:val="18"/>
        </w:rPr>
        <w:t xml:space="preserve">-</w:t>
      </w:r>
      <w:r>
        <w:rPr>
          <w:rFonts w:cs="Arial" w:hAnsi="Arial" w:eastAsia="Arial" w:ascii="Arial"/>
          <w:sz w:val="18"/>
        </w:rPr>
        <w:t xml:space="preserve">comptable</w:t>
      </w:r>
      <w:r>
        <w:rPr>
          <w:rFonts w:cs="Arial" w:hAnsi="Arial" w:eastAsia="Arial" w:ascii="Arial"/>
          <w:sz w:val="18"/>
        </w:rPr>
        <w:t xml:space="preserve"> </w:t>
      </w:r>
      <w:r>
        <w:rPr>
          <w:rFonts w:cs="Arial" w:hAnsi="Arial" w:eastAsia="Arial" w:ascii="Arial"/>
          <w:sz w:val="18"/>
        </w:rPr>
        <w:t xml:space="preserve">aura pour tâches</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2"/>
        </w:numPr>
        <w:spacing w:before="0" w:after="5" w:line="251" w:lineRule="auto"/>
        <w:ind w:left="360" w:right="2" w:hanging="360"/>
      </w:pPr>
      <w:r>
        <w:rPr>
          <w:rFonts w:cs="Arial" w:hAnsi="Arial" w:eastAsia="Arial" w:ascii="Arial"/>
          <w:sz w:val="18"/>
        </w:rPr>
        <w:t xml:space="preserve">mettre à jour et appliquer</w:t>
      </w:r>
      <w:r>
        <w:rPr>
          <w:rFonts w:cs="Arial" w:hAnsi="Arial" w:eastAsia="Arial" w:ascii="Arial"/>
          <w:sz w:val="18"/>
        </w:rPr>
        <w:t xml:space="preserve"> </w:t>
      </w:r>
      <w:r>
        <w:rPr>
          <w:rFonts w:cs="Arial" w:hAnsi="Arial" w:eastAsia="Arial" w:ascii="Arial"/>
          <w:sz w:val="18"/>
        </w:rPr>
        <w:t xml:space="preserve">des procédures de gestion administrative et financière</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élaborer les divers contrats au niveau de la sous</w:t>
      </w:r>
      <w:r>
        <w:rPr>
          <w:rFonts w:cs="Arial" w:hAnsi="Arial" w:eastAsia="Arial" w:ascii="Arial"/>
          <w:sz w:val="18"/>
        </w:rPr>
        <w:t xml:space="preserve">-</w:t>
      </w:r>
      <w:r>
        <w:rPr>
          <w:rFonts w:cs="Arial" w:hAnsi="Arial" w:eastAsia="Arial" w:ascii="Arial"/>
          <w:sz w:val="18"/>
        </w:rPr>
        <w:t xml:space="preserve">composante et assurer leur suivi</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tenir le tableau du personnel (congés, missions, absences)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superviser et assurer la gestion du personnel d’appui du projet conformément aux règles et procédures en vigueur</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réaliser les activités inhérentes à</w:t>
      </w:r>
      <w:r>
        <w:rPr>
          <w:rFonts w:cs="Arial" w:hAnsi="Arial" w:eastAsia="Arial" w:ascii="Arial"/>
          <w:sz w:val="18"/>
        </w:rPr>
        <w:t xml:space="preserve"> </w:t>
      </w:r>
      <w:r>
        <w:rPr>
          <w:rFonts w:cs="Arial" w:hAnsi="Arial" w:eastAsia="Arial" w:ascii="Arial"/>
          <w:sz w:val="18"/>
        </w:rPr>
        <w:t xml:space="preserve">la préparation et à la tenue de la comptabilité du projet</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assurer les opérations avec les banques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assurer la fourniture et la gestion du matériel et des biens du bureau</w:t>
      </w:r>
      <w:r>
        <w:rPr>
          <w:rFonts w:cs="Arial" w:hAnsi="Arial" w:eastAsia="Arial" w:ascii="Arial"/>
          <w:sz w:val="18"/>
        </w:rPr>
        <w:t xml:space="preserve"> </w:t>
      </w:r>
      <w:r>
        <w:rPr>
          <w:rFonts w:cs="Arial" w:hAnsi="Arial" w:eastAsia="Arial" w:ascii="Arial"/>
          <w:sz w:val="18"/>
        </w:rPr>
        <w:t xml:space="preserve">et tenir le registre y relatif ;</w:t>
      </w:r>
      <w:r>
        <w:rPr>
          <w:rFonts w:cs="Arial" w:hAnsi="Arial" w:eastAsia="Arial" w:ascii="Arial"/>
          <w:sz w:val="18"/>
        </w:rPr>
        <w:t xml:space="preserve"> </w:t>
      </w:r>
    </w:p>
    <w:p>
      <w:pPr>
        <w:numPr>
          <w:ilvl w:val="0"/>
          <w:numId w:val="32"/>
        </w:numPr>
        <w:spacing w:before="0" w:after="5" w:line="251" w:lineRule="auto"/>
        <w:ind w:left="360" w:right="2" w:hanging="360"/>
      </w:pPr>
      <w:r>
        <w:rPr>
          <w:rFonts w:cs="Arial" w:hAnsi="Arial" w:eastAsia="Arial" w:ascii="Arial"/>
          <w:sz w:val="18"/>
        </w:rPr>
        <w:t xml:space="preserve">contribuer à la préparation et à l’organisation des appels d’offres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assurer et exercer un suivi au niveau de l’entretien et de la préparation des véhicules de la sous</w:t>
      </w:r>
      <w:r>
        <w:rPr>
          <w:rFonts w:cs="Arial" w:hAnsi="Arial" w:eastAsia="Arial" w:ascii="Arial"/>
          <w:sz w:val="18"/>
        </w:rPr>
        <w:t xml:space="preserve">-</w:t>
      </w:r>
      <w:r>
        <w:rPr>
          <w:rFonts w:cs="Arial" w:hAnsi="Arial" w:eastAsia="Arial" w:ascii="Arial"/>
          <w:sz w:val="18"/>
        </w:rPr>
        <w:t xml:space="preserve">composante et tenir le registre de réparations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établir les bons de commande et préparer les paiements des fournisseurs et prestataires de service</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assurer</w:t>
      </w:r>
      <w:r>
        <w:rPr>
          <w:rFonts w:cs="Arial" w:hAnsi="Arial" w:eastAsia="Arial" w:ascii="Arial"/>
          <w:sz w:val="18"/>
        </w:rPr>
        <w:t xml:space="preserve"> </w:t>
      </w:r>
      <w:r>
        <w:rPr>
          <w:rFonts w:cs="Arial" w:hAnsi="Arial" w:eastAsia="Arial" w:ascii="Arial"/>
          <w:sz w:val="18"/>
        </w:rPr>
        <w:t xml:space="preserve">la gestion du parc automobile de la sous</w:t>
      </w:r>
      <w:r>
        <w:rPr>
          <w:rFonts w:cs="Arial" w:hAnsi="Arial" w:eastAsia="Arial" w:ascii="Arial"/>
          <w:sz w:val="18"/>
        </w:rPr>
        <w:t xml:space="preserve">-</w:t>
      </w:r>
      <w:r>
        <w:rPr>
          <w:rFonts w:cs="Arial" w:hAnsi="Arial" w:eastAsia="Arial" w:ascii="Arial"/>
          <w:sz w:val="18"/>
        </w:rPr>
        <w:t xml:space="preserve">composante</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tenir le registre du carburant</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organiser les réunions des différents comités d’acquisition des biens et prestations de services</w:t>
      </w:r>
      <w:r>
        <w:rPr>
          <w:rFonts w:cs="Arial" w:hAnsi="Arial" w:eastAsia="Arial" w:ascii="Arial"/>
          <w:sz w:val="18"/>
        </w:rPr>
        <w:t xml:space="preserve"> </w:t>
      </w:r>
      <w:r>
        <w:rPr>
          <w:rFonts w:cs="Arial" w:hAnsi="Arial" w:eastAsia="Arial" w:ascii="Arial"/>
          <w:sz w:val="18"/>
        </w:rPr>
        <w:t xml:space="preserve">du projet, y participer, élaborer et soumettre aux approbations nécessaires les différents rapports y relatifs et autres documents administratifs requis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suivre les achats et les approvisionnements du projet</w:t>
      </w:r>
      <w:r>
        <w:rPr>
          <w:rFonts w:cs="Arial" w:hAnsi="Arial" w:eastAsia="Arial" w:ascii="Arial"/>
          <w:sz w:val="18"/>
        </w:rPr>
        <w:t xml:space="preserve">; </w:t>
      </w:r>
    </w:p>
    <w:p>
      <w:pPr>
        <w:numPr>
          <w:ilvl w:val="0"/>
          <w:numId w:val="32"/>
        </w:numPr>
        <w:spacing w:before="0" w:after="5" w:line="251" w:lineRule="auto"/>
        <w:ind w:left="360" w:right="2" w:hanging="360"/>
      </w:pPr>
      <w:r>
        <w:rPr>
          <w:rFonts w:cs="Arial" w:hAnsi="Arial" w:eastAsia="Arial" w:ascii="Arial"/>
          <w:sz w:val="18"/>
        </w:rPr>
        <w:t xml:space="preserve">appuyer le</w:t>
      </w:r>
      <w:r>
        <w:rPr>
          <w:rFonts w:cs="Arial" w:hAnsi="Arial" w:eastAsia="Arial" w:ascii="Arial"/>
          <w:sz w:val="18"/>
        </w:rPr>
        <w:t xml:space="preserve"> </w:t>
      </w:r>
      <w:r>
        <w:rPr>
          <w:rFonts w:cs="Arial" w:hAnsi="Arial" w:eastAsia="Arial" w:ascii="Arial"/>
          <w:sz w:val="18"/>
        </w:rPr>
        <w:t xml:space="preserve">bon déroulement des audits de la sous</w:t>
      </w:r>
      <w:r>
        <w:rPr>
          <w:rFonts w:cs="Arial" w:hAnsi="Arial" w:eastAsia="Arial" w:ascii="Arial"/>
          <w:sz w:val="18"/>
        </w:rPr>
        <w:t xml:space="preserve">-</w:t>
      </w:r>
      <w:r>
        <w:rPr>
          <w:rFonts w:cs="Arial" w:hAnsi="Arial" w:eastAsia="Arial" w:ascii="Arial"/>
          <w:sz w:val="18"/>
        </w:rPr>
        <w:t xml:space="preserve">composante</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participer à l’organisation des missions, ateliers/séminaires, etc. ;</w:t>
      </w:r>
      <w:r>
        <w:rPr>
          <w:rFonts w:cs="Arial" w:hAnsi="Arial" w:eastAsia="Arial" w:ascii="Arial"/>
          <w:sz w:val="18"/>
        </w:rPr>
        <w:t xml:space="preserve"> </w:t>
      </w:r>
    </w:p>
    <w:p>
      <w:pPr>
        <w:numPr>
          <w:ilvl w:val="0"/>
          <w:numId w:val="32"/>
        </w:numPr>
        <w:spacing w:before="0" w:after="5" w:line="251" w:lineRule="auto"/>
        <w:ind w:left="360" w:right="2" w:hanging="360"/>
      </w:pPr>
      <w:r>
        <w:rPr>
          <w:rFonts w:cs="Arial" w:hAnsi="Arial" w:eastAsia="Arial" w:ascii="Arial"/>
          <w:sz w:val="18"/>
        </w:rPr>
        <w:t xml:space="preserve">tenir régulièrement à jour les documents comptables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participer à l’élaboration et à l’exécution du budget du programme annuel des activités du projet</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assurer la production des états financiers et le suivi du budget conformément aux prévisions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assister le Coordonnateur Technique national pour l’établissement des prévisions annuelles, trimestrielles et mensuelles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préparer les rapports</w:t>
      </w:r>
      <w:r>
        <w:rPr>
          <w:rFonts w:cs="Arial" w:hAnsi="Arial" w:eastAsia="Arial" w:ascii="Arial"/>
          <w:sz w:val="18"/>
        </w:rPr>
        <w:t xml:space="preserve"> </w:t>
      </w:r>
      <w:r>
        <w:rPr>
          <w:rFonts w:cs="Arial" w:hAnsi="Arial" w:eastAsia="Arial" w:ascii="Arial"/>
          <w:sz w:val="18"/>
        </w:rPr>
        <w:t xml:space="preserve">financiers requis par le  PNUD et le Gouvernement afin d’assurer leur soumission ponctuelle selon les dispositions prévues dans le document de sous</w:t>
      </w:r>
      <w:r>
        <w:rPr>
          <w:rFonts w:cs="Arial" w:hAnsi="Arial" w:eastAsia="Arial" w:ascii="Arial"/>
          <w:sz w:val="18"/>
        </w:rPr>
        <w:t xml:space="preserve">-</w:t>
      </w:r>
      <w:r>
        <w:rPr>
          <w:rFonts w:cs="Arial" w:hAnsi="Arial" w:eastAsia="Arial" w:ascii="Arial"/>
          <w:sz w:val="18"/>
        </w:rPr>
        <w:t xml:space="preserve">programme</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aider à la préparation des révisions budgétaires des projets en Exécution nationale suivant les directives en vigueur et cela de concert avec les Chefs des projets concernés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exécuter toutes autres tâches conformes à son profil et demandées par le Coordonnateur.</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3" w:line="259" w:lineRule="auto"/>
        <w:ind w:left="-5"/>
        <w:jc w:val="left"/>
      </w:pPr>
      <w:r>
        <w:rPr>
          <w:rFonts w:cs="Arial" w:hAnsi="Arial" w:eastAsia="Arial" w:ascii="Arial"/>
          <w:sz w:val="18"/>
          <w:u w:val="single" w:color="000000"/>
        </w:rPr>
        <w:t xml:space="preserve">QUALIFICATIONS</w:t>
      </w:r>
      <w:r>
        <w:rPr>
          <w:rFonts w:cs="Arial" w:hAnsi="Arial" w:eastAsia="Arial" w:ascii="Arial"/>
          <w:sz w:val="18"/>
          <w:u w:val="single" w:color="000000"/>
        </w:rPr>
        <w:t xml:space="preserve"> </w:t>
      </w:r>
      <w:r>
        <w:rPr>
          <w:rFonts w:cs="Arial" w:hAnsi="Arial" w:eastAsia="Arial" w:ascii="Arial"/>
          <w:sz w:val="18"/>
          <w:u w:val="single" w:color="000000"/>
        </w:rPr>
        <w:t xml:space="preserve">REQUISES</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2"/>
        </w:numPr>
        <w:spacing w:before="0" w:after="5" w:line="251" w:lineRule="auto"/>
        <w:ind w:left="360" w:right="2" w:hanging="360"/>
      </w:pPr>
      <w:r>
        <w:rPr>
          <w:rFonts w:cs="Arial" w:hAnsi="Arial" w:eastAsia="Arial" w:ascii="Arial"/>
          <w:sz w:val="18"/>
        </w:rPr>
        <w:t xml:space="preserve">Diplôme DUT comptable, ou équivalent avec une expérience de gestion comptable</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avoir une expérience d’au moins </w:t>
      </w:r>
      <w:r>
        <w:rPr>
          <w:rFonts w:cs="Arial" w:hAnsi="Arial" w:eastAsia="Arial" w:ascii="Arial"/>
          <w:sz w:val="18"/>
        </w:rPr>
        <w:t xml:space="preserve">6</w:t>
      </w:r>
      <w:r>
        <w:rPr>
          <w:rFonts w:cs="Arial" w:hAnsi="Arial" w:eastAsia="Arial" w:ascii="Arial"/>
          <w:sz w:val="18"/>
        </w:rPr>
        <w:t xml:space="preserve"> </w:t>
      </w:r>
      <w:r>
        <w:rPr>
          <w:rFonts w:cs="Arial" w:hAnsi="Arial" w:eastAsia="Arial" w:ascii="Arial"/>
          <w:sz w:val="18"/>
        </w:rPr>
        <w:t xml:space="preserve">ans dans l’Administration publique ou privée et/ou au niveau des programmes/projets en Exécution nationale et/ou des projets de développement, notamment ceux financés par le PNUD et/ou par d’autres bailleurs de fonds</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Une bonne connaissance des procédures du Système des Nations Unies, notamment le PNUD serait un atout</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être d’une grande disponibilité et apte à travailler sous pression</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avoir une bonne maîtrise de l’outil informatique (WinWord, Excel, logiciel comptable, etc.)</w:t>
      </w:r>
      <w:r>
        <w:rPr>
          <w:rFonts w:cs="Arial" w:hAnsi="Arial" w:eastAsia="Arial" w:ascii="Arial"/>
          <w:sz w:val="18"/>
        </w:rPr>
        <w:t xml:space="preserve"> ; </w:t>
      </w:r>
    </w:p>
    <w:p>
      <w:pPr>
        <w:numPr>
          <w:ilvl w:val="0"/>
          <w:numId w:val="32"/>
        </w:numPr>
        <w:spacing w:before="0" w:after="5" w:line="251" w:lineRule="auto"/>
        <w:ind w:left="360" w:right="2" w:hanging="360"/>
      </w:pPr>
      <w:r>
        <w:rPr>
          <w:rFonts w:cs="Arial" w:hAnsi="Arial" w:eastAsia="Arial" w:ascii="Arial"/>
          <w:sz w:val="18"/>
        </w:rPr>
        <w:t xml:space="preserve">avoir une connaissance parfaite de la langue française (surtout sur le plan rédactionnel) et un bon usage de l’anglais.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50" w:line="259" w:lineRule="auto"/>
        <w:ind w:left="0" w:firstLine="0"/>
        <w:jc w:val="left"/>
      </w:pPr>
      <w:r>
        <w:rPr>
          <w:rFonts w:cs="Arial" w:hAnsi="Arial" w:eastAsia="Arial" w:ascii="Arial"/>
          <w:sz w:val="18"/>
        </w:rPr>
        <w:t xml:space="preserve"> </w:t>
      </w:r>
    </w:p>
    <w:p>
      <w:pPr>
        <w:pStyle w:val="heading4"/>
        <w:pBdr>
          <w:top w:val="single" w:color="000000" w:sz="4"/>
          <w:left w:val="single" w:color="000000" w:sz="4"/>
          <w:bottom w:val="single" w:color="000000" w:sz="4"/>
          <w:right w:val="single" w:color="000000" w:sz="4"/>
        </w:pBdr>
        <w:spacing w:before="0" w:after="0" w:line="259" w:lineRule="auto"/>
        <w:ind w:left="364" w:right="360"/>
        <w:jc w:val="center"/>
      </w:pPr>
      <w:r>
        <w:rPr>
          <w:rFonts w:cs="Times New Roman" w:hAnsi="Times New Roman" w:eastAsia="Times New Roman" w:ascii="Times New Roman"/>
          <w:b w:val="1"/>
          <w:u w:val="none" w:color="000000"/>
        </w:rPr>
        <w:t xml:space="preserve">SECRETAIRE DE DIRECTION</w:t>
      </w:r>
      <w:r>
        <w:rPr>
          <w:rFonts w:cs="Times New Roman" w:hAnsi="Times New Roman" w:eastAsia="Times New Roman" w:ascii="Times New Roman"/>
          <w:b w:val="1"/>
          <w:u w:val="none" w:color="000000"/>
        </w:rPr>
        <w:t xml:space="preserve"> </w:t>
      </w:r>
    </w:p>
    <w:p>
      <w:pPr>
        <w:spacing w:before="0" w:after="0" w:line="259" w:lineRule="auto"/>
        <w:ind w:left="0" w:firstLine="0"/>
        <w:jc w:val="left"/>
      </w:pPr>
      <w:r>
        <w:rPr>
          <w:rFonts w:cs="Arial" w:hAnsi="Arial" w:eastAsia="Arial" w:ascii="Arial"/>
          <w:sz w:val="18"/>
        </w:rPr>
        <w:t xml:space="preserve"> </w:t>
      </w:r>
    </w:p>
    <w:p>
      <w:pPr>
        <w:tabs>
          <w:tab w:val="center" w:pos="2695"/>
        </w:tabs>
        <w:spacing w:before="0" w:after="5" w:line="251" w:lineRule="auto"/>
        <w:ind w:left="-15" w:firstLine="0"/>
        <w:jc w:val="left"/>
      </w:pPr>
      <w:r>
        <w:rPr>
          <w:rFonts w:cs="Arial" w:hAnsi="Arial" w:eastAsia="Arial" w:ascii="Arial"/>
          <w:sz w:val="18"/>
        </w:rPr>
        <w:t xml:space="preserve">Lieu d’affectation </w:t>
      </w:r>
      <w:r>
        <w:rPr>
          <w:rFonts w:cs="Arial" w:hAnsi="Arial" w:eastAsia="Arial" w:ascii="Arial"/>
          <w:sz w:val="18"/>
        </w:rPr>
        <w:t xml:space="preserve"> 	</w:t>
      </w:r>
      <w:r>
        <w:rPr>
          <w:rFonts w:cs="Arial" w:hAnsi="Arial" w:eastAsia="Arial" w:ascii="Arial"/>
          <w:sz w:val="18"/>
        </w:rPr>
        <w:t xml:space="preserve">Ouagadougou</w:t>
      </w:r>
      <w:r>
        <w:rPr>
          <w:rFonts w:cs="Arial" w:hAnsi="Arial" w:eastAsia="Arial" w:ascii="Arial"/>
          <w:sz w:val="18"/>
        </w:rPr>
        <w:t xml:space="preserve"> </w:t>
      </w:r>
    </w:p>
    <w:p>
      <w:pPr>
        <w:tabs>
          <w:tab w:val="center" w:pos="2840"/>
        </w:tabs>
        <w:spacing w:before="0" w:after="5" w:line="251" w:lineRule="auto"/>
        <w:ind w:left="-15" w:firstLine="0"/>
        <w:jc w:val="left"/>
      </w:pPr>
      <w:r>
        <w:rPr>
          <w:rFonts w:cs="Arial" w:hAnsi="Arial" w:eastAsia="Arial" w:ascii="Arial"/>
          <w:sz w:val="18"/>
        </w:rPr>
        <w:t xml:space="preserve">Durée de l’engagement </w:t>
      </w:r>
      <w:r>
        <w:rPr>
          <w:rFonts w:cs="Arial" w:hAnsi="Arial" w:eastAsia="Arial" w:ascii="Arial"/>
          <w:sz w:val="18"/>
        </w:rPr>
        <w:t xml:space="preserve"> 	</w:t>
      </w:r>
      <w:r>
        <w:rPr>
          <w:rFonts w:cs="Arial" w:hAnsi="Arial" w:eastAsia="Arial" w:ascii="Arial"/>
          <w:sz w:val="18"/>
        </w:rPr>
        <w:t xml:space="preserve">1 an renouvelable</w:t>
      </w:r>
      <w:r>
        <w:rPr>
          <w:rFonts w:cs="Arial" w:hAnsi="Arial" w:eastAsia="Arial" w:ascii="Arial"/>
          <w:sz w:val="18"/>
        </w:rPr>
        <w:t xml:space="preserve"> </w:t>
      </w:r>
    </w:p>
    <w:p>
      <w:pPr>
        <w:tabs>
          <w:tab w:val="center" w:pos="1416"/>
          <w:tab w:val="center" w:pos="2326"/>
        </w:tabs>
        <w:spacing w:before="0" w:after="5" w:line="251" w:lineRule="auto"/>
        <w:ind w:left="-15" w:firstLine="0"/>
        <w:jc w:val="left"/>
      </w:pPr>
      <w:r>
        <w:rPr>
          <w:rFonts w:cs="Arial" w:hAnsi="Arial" w:eastAsia="Arial" w:ascii="Arial"/>
          <w:sz w:val="18"/>
        </w:rPr>
        <w:t xml:space="preserve">Date de début</w:t>
      </w:r>
      <w:r>
        <w:rPr>
          <w:rFonts w:cs="Arial" w:hAnsi="Arial" w:eastAsia="Arial" w:ascii="Arial"/>
          <w:sz w:val="18"/>
        </w:rPr>
        <w:t xml:space="preserve">  	 	</w:t>
      </w:r>
      <w:r>
        <w:rPr>
          <w:rFonts w:cs="Arial" w:hAnsi="Arial" w:eastAsia="Arial" w:ascii="Arial"/>
          <w:sz w:val="18"/>
        </w:rPr>
        <w:t xml:space="preserve">2011</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pStyle w:val="heading5"/>
        <w:spacing w:before="0" w:after="3" w:line="259" w:lineRule="auto"/>
        <w:ind w:left="-5"/>
      </w:pPr>
      <w:r>
        <w:rPr/>
        <w:t xml:space="preserve">DESCRIPTION DES TACHES</w:t>
      </w:r>
      <w:r>
        <w:rPr>
          <w:u w:val="none" w:color="000000"/>
        </w:rPr>
        <w:t xml:space="preserve"> </w:t>
      </w:r>
    </w:p>
    <w:p>
      <w:pPr>
        <w:spacing w:before="0" w:after="0" w:line="259" w:lineRule="auto"/>
        <w:ind w:left="0" w:firstLine="0"/>
        <w:jc w:val="left"/>
      </w:pPr>
      <w:r>
        <w:rPr>
          <w:rFonts w:cs="Arial" w:hAnsi="Arial" w:eastAsia="Arial" w:ascii="Arial"/>
          <w:sz w:val="18"/>
        </w:rPr>
        <w:t xml:space="preserve"> </w:t>
      </w:r>
    </w:p>
    <w:p>
      <w:pPr>
        <w:spacing w:before="0" w:after="5" w:line="251" w:lineRule="auto"/>
        <w:ind w:left="-5" w:right="2"/>
      </w:pPr>
      <w:r>
        <w:rPr>
          <w:rFonts w:cs="Arial" w:hAnsi="Arial" w:eastAsia="Arial" w:ascii="Arial"/>
          <w:sz w:val="18"/>
        </w:rPr>
        <w:t xml:space="preserve">Sous la supervision directe du Coordonnateur, le/la</w:t>
      </w:r>
      <w:r>
        <w:rPr>
          <w:rFonts w:cs="Arial" w:hAnsi="Arial" w:eastAsia="Arial" w:ascii="Arial"/>
          <w:sz w:val="18"/>
        </w:rPr>
        <w:t xml:space="preserve"> </w:t>
      </w:r>
      <w:r>
        <w:rPr>
          <w:rFonts w:cs="Arial" w:hAnsi="Arial" w:eastAsia="Arial" w:ascii="Arial"/>
          <w:sz w:val="18"/>
        </w:rPr>
        <w:t xml:space="preserve">Secrétaire de Direction</w:t>
      </w:r>
      <w:r>
        <w:rPr>
          <w:rFonts w:cs="Arial" w:hAnsi="Arial" w:eastAsia="Arial" w:ascii="Arial"/>
          <w:sz w:val="18"/>
        </w:rPr>
        <w:t xml:space="preserve"> </w:t>
      </w:r>
      <w:r>
        <w:rPr>
          <w:rFonts w:cs="Arial" w:hAnsi="Arial" w:eastAsia="Arial" w:ascii="Arial"/>
          <w:sz w:val="18"/>
        </w:rPr>
        <w:t xml:space="preserve">aura pour tâches</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14" w:line="259" w:lineRule="auto"/>
        <w:ind w:left="0" w:firstLine="0"/>
        <w:jc w:val="left"/>
      </w:pPr>
      <w:r>
        <w:rPr>
          <w:rFonts w:cs="Arial" w:hAnsi="Arial" w:eastAsia="Arial" w:ascii="Arial"/>
          <w:sz w:val="18"/>
        </w:rPr>
        <w:t xml:space="preserve"> </w:t>
      </w:r>
    </w:p>
    <w:p>
      <w:pPr>
        <w:numPr>
          <w:ilvl w:val="0"/>
          <w:numId w:val="33"/>
        </w:numPr>
        <w:spacing w:before="0" w:after="5" w:line="251" w:lineRule="auto"/>
        <w:ind w:left="709" w:right="2" w:hanging="281"/>
      </w:pPr>
      <w:r>
        <w:rPr>
          <w:rFonts w:cs="Arial" w:hAnsi="Arial" w:eastAsia="Arial" w:ascii="Arial"/>
          <w:sz w:val="18"/>
        </w:rPr>
        <w:t xml:space="preserve">assister le Coordonnateur dans l’exécution des tâches qui lui sont assignées</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rédiger les documents administratifs (lettres, fax, notes de services, rapports, procès</w:t>
      </w:r>
      <w:r>
        <w:rPr>
          <w:rFonts w:cs="Arial" w:hAnsi="Arial" w:eastAsia="Arial" w:ascii="Arial"/>
          <w:sz w:val="18"/>
        </w:rPr>
        <w:t xml:space="preserve">-</w:t>
      </w:r>
      <w:r>
        <w:rPr>
          <w:rFonts w:cs="Arial" w:hAnsi="Arial" w:eastAsia="Arial" w:ascii="Arial"/>
          <w:sz w:val="18"/>
        </w:rPr>
        <w:t xml:space="preserve">verbaux, etc.)</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procéder au traitement sur logiciels informatiques desdits documents</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tenir les registres du courrier arrivée et départ et procéder au classement</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ouvrir et tenir à jour les dossiers des consultants et du personnel occasionnels</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assurer tous les travaux de saisie et de reproduction des documents</w:t>
      </w:r>
      <w:r>
        <w:rPr>
          <w:rFonts w:cs="Arial" w:hAnsi="Arial" w:eastAsia="Arial" w:ascii="Arial"/>
          <w:sz w:val="18"/>
        </w:rPr>
        <w:t xml:space="preserve"> ; </w:t>
      </w:r>
    </w:p>
    <w:p>
      <w:pPr>
        <w:numPr>
          <w:ilvl w:val="0"/>
          <w:numId w:val="33"/>
        </w:numPr>
        <w:spacing w:before="0" w:after="0" w:line="216" w:lineRule="auto"/>
        <w:ind w:left="709" w:right="2" w:hanging="281"/>
      </w:pPr>
      <w:r>
        <w:rPr>
          <w:rFonts w:cs="Arial" w:hAnsi="Arial" w:eastAsia="Arial" w:ascii="Arial"/>
          <w:sz w:val="18"/>
        </w:rPr>
        <w:t xml:space="preserve">aider à l’organisation des différentes réunions de la sous</w:t>
      </w:r>
      <w:r>
        <w:rPr>
          <w:rFonts w:cs="Arial" w:hAnsi="Arial" w:eastAsia="Arial" w:ascii="Arial"/>
          <w:sz w:val="18"/>
        </w:rPr>
        <w:t xml:space="preserve">-</w:t>
      </w:r>
      <w:r>
        <w:rPr>
          <w:rFonts w:cs="Arial" w:hAnsi="Arial" w:eastAsia="Arial" w:ascii="Arial"/>
          <w:sz w:val="18"/>
        </w:rPr>
        <w:t xml:space="preserve">composante et rédiger les comptes rendus</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tenir la Caisse de Menues Dépenses (CMD)</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tenir le registre des réquisitions d’achats locaux</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tenir le tableau du personnel (congés, missions, absences)</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accueillir et orienter les visiteurs convenablement</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assurer les fonctions de standardiste par la réception et le dispatching des appels téléphoniques au départ et à la réception</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tenir un registre des communications téléphoniques</w:t>
      </w:r>
      <w:r>
        <w:rPr>
          <w:rFonts w:cs="Arial" w:hAnsi="Arial" w:eastAsia="Arial" w:ascii="Arial"/>
          <w:sz w:val="18"/>
        </w:rPr>
        <w:t xml:space="preserve"> ; </w:t>
      </w:r>
    </w:p>
    <w:p>
      <w:pPr>
        <w:numPr>
          <w:ilvl w:val="0"/>
          <w:numId w:val="33"/>
        </w:numPr>
        <w:spacing w:before="0" w:after="5" w:line="251" w:lineRule="auto"/>
        <w:ind w:left="709" w:right="2" w:hanging="281"/>
      </w:pPr>
      <w:r>
        <w:rPr>
          <w:rFonts w:cs="Arial" w:hAnsi="Arial" w:eastAsia="Arial" w:ascii="Arial"/>
          <w:sz w:val="18"/>
        </w:rPr>
        <w:t xml:space="preserve">assurer la reproduction de documents;</w:t>
      </w:r>
      <w:r>
        <w:rPr>
          <w:rFonts w:cs="Arial" w:hAnsi="Arial" w:eastAsia="Arial" w:ascii="Arial"/>
          <w:sz w:val="18"/>
        </w:rPr>
        <w:t xml:space="preserve"> </w:t>
      </w:r>
    </w:p>
    <w:p>
      <w:pPr>
        <w:numPr>
          <w:ilvl w:val="0"/>
          <w:numId w:val="33"/>
        </w:numPr>
        <w:spacing w:before="0" w:after="0" w:line="216" w:lineRule="auto"/>
        <w:ind w:left="709" w:right="2" w:hanging="281"/>
      </w:pPr>
      <w:r>
        <w:rPr>
          <w:rFonts w:cs="Arial" w:hAnsi="Arial" w:eastAsia="Arial" w:ascii="Arial"/>
          <w:sz w:val="18"/>
        </w:rPr>
        <w:t xml:space="preserve">veiller au suivi du matériel de dactylographie et de reprographie</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assurer le service de café du projet et des différentes rencontres</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accomplir toutes autres tâches conformes à son profil.</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pStyle w:val="heading5"/>
        <w:spacing w:before="0" w:after="3" w:line="259" w:lineRule="auto"/>
        <w:ind w:left="-5"/>
      </w:pPr>
      <w:r>
        <w:rPr/>
        <w:t xml:space="preserve">QUALIFICATIONS REQUISES</w:t>
      </w:r>
      <w:r>
        <w:rPr>
          <w:u w:val="none" w:color="000000"/>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4"/>
        </w:numPr>
        <w:spacing w:before="0" w:after="5" w:line="251" w:lineRule="auto"/>
        <w:ind w:left="709" w:right="2" w:hanging="281"/>
      </w:pPr>
      <w:r>
        <w:rPr>
          <w:rFonts w:cs="Arial" w:hAnsi="Arial" w:eastAsia="Arial" w:ascii="Arial"/>
          <w:sz w:val="18"/>
        </w:rPr>
        <w:t xml:space="preserve">Diplôme de secrétariat de direction</w:t>
      </w:r>
      <w:r>
        <w:rPr>
          <w:rFonts w:cs="Arial" w:hAnsi="Arial" w:eastAsia="Arial" w:ascii="Arial"/>
          <w:sz w:val="18"/>
        </w:rPr>
        <w:t xml:space="preserve"> </w:t>
      </w:r>
      <w:r>
        <w:rPr>
          <w:rFonts w:cs="Arial" w:hAnsi="Arial" w:eastAsia="Arial" w:ascii="Arial"/>
          <w:sz w:val="18"/>
        </w:rPr>
        <w:t xml:space="preserve">(DUT) ou plus ;</w:t>
      </w:r>
      <w:r>
        <w:rPr>
          <w:rFonts w:cs="Arial" w:hAnsi="Arial" w:eastAsia="Arial" w:ascii="Arial"/>
          <w:sz w:val="18"/>
        </w:rPr>
        <w:t xml:space="preserve"> </w:t>
      </w:r>
    </w:p>
    <w:p>
      <w:pPr>
        <w:numPr>
          <w:ilvl w:val="0"/>
          <w:numId w:val="34"/>
        </w:numPr>
        <w:spacing w:before="0" w:after="5" w:line="251" w:lineRule="auto"/>
        <w:ind w:left="709" w:right="2" w:hanging="281"/>
      </w:pPr>
      <w:r>
        <w:rPr>
          <w:rFonts w:cs="Arial" w:hAnsi="Arial" w:eastAsia="Arial" w:ascii="Arial"/>
          <w:sz w:val="18"/>
        </w:rPr>
        <w:t xml:space="preserve">avoir une expérience d’au moins 3</w:t>
      </w:r>
      <w:r>
        <w:rPr>
          <w:rFonts w:cs="Arial" w:hAnsi="Arial" w:eastAsia="Arial" w:ascii="Arial"/>
          <w:sz w:val="18"/>
        </w:rPr>
        <w:t xml:space="preserve"> </w:t>
      </w:r>
      <w:r>
        <w:rPr>
          <w:rFonts w:cs="Arial" w:hAnsi="Arial" w:eastAsia="Arial" w:ascii="Arial"/>
          <w:sz w:val="18"/>
        </w:rPr>
        <w:t xml:space="preserve">ans dans le domaine du Secrétariat notamment au niveau des </w:t>
      </w:r>
    </w:p>
    <w:p>
      <w:pPr>
        <w:spacing w:before="0" w:after="5" w:line="251" w:lineRule="auto"/>
        <w:ind w:left="718" w:right="2"/>
      </w:pPr>
      <w:r>
        <w:rPr>
          <w:rFonts w:cs="Arial" w:hAnsi="Arial" w:eastAsia="Arial" w:ascii="Arial"/>
          <w:sz w:val="18"/>
        </w:rPr>
        <w:t xml:space="preserve">programmes/projets en exécution nationale ou autres types de projets financés par le PNUD ou par d’autres donateurs</w:t>
      </w:r>
      <w:r>
        <w:rPr>
          <w:rFonts w:cs="Arial" w:hAnsi="Arial" w:eastAsia="Arial" w:ascii="Arial"/>
          <w:sz w:val="18"/>
        </w:rPr>
        <w:t xml:space="preserve"> ; </w:t>
      </w:r>
    </w:p>
    <w:p>
      <w:pPr>
        <w:numPr>
          <w:ilvl w:val="0"/>
          <w:numId w:val="34"/>
        </w:numPr>
        <w:spacing w:before="0" w:after="5" w:line="251" w:lineRule="auto"/>
        <w:ind w:left="709" w:right="2" w:hanging="281"/>
      </w:pPr>
      <w:r>
        <w:rPr>
          <w:rFonts w:cs="Arial" w:hAnsi="Arial" w:eastAsia="Arial" w:ascii="Arial"/>
          <w:sz w:val="18"/>
        </w:rPr>
        <w:t xml:space="preserve">avoir une bonne connaissance des procédures du Système des Nations Unies, notamment du PNUD</w:t>
      </w:r>
      <w:r>
        <w:rPr>
          <w:rFonts w:cs="Arial" w:hAnsi="Arial" w:eastAsia="Arial" w:ascii="Arial"/>
          <w:sz w:val="18"/>
        </w:rPr>
        <w:t xml:space="preserve"> ; </w:t>
      </w:r>
    </w:p>
    <w:p>
      <w:pPr>
        <w:numPr>
          <w:ilvl w:val="0"/>
          <w:numId w:val="34"/>
        </w:numPr>
        <w:spacing w:before="0" w:after="5" w:line="251" w:lineRule="auto"/>
        <w:ind w:left="709" w:right="2" w:hanging="281"/>
      </w:pPr>
      <w:r>
        <w:rPr>
          <w:rFonts w:cs="Arial" w:hAnsi="Arial" w:eastAsia="Arial" w:ascii="Arial"/>
          <w:sz w:val="18"/>
        </w:rPr>
        <w:t xml:space="preserve">avoir une bonne connaissance de l’informatique est indispensable (Windows, Excel, Word, etc.)</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avoir une bonne tenue et courtoisie</w:t>
      </w:r>
      <w:r>
        <w:rPr>
          <w:rFonts w:cs="Arial" w:hAnsi="Arial" w:eastAsia="Arial" w:ascii="Arial"/>
          <w:sz w:val="18"/>
        </w:rPr>
        <w:t xml:space="preserve"> ; </w:t>
      </w:r>
    </w:p>
    <w:p>
      <w:pPr>
        <w:numPr>
          <w:ilvl w:val="0"/>
          <w:numId w:val="34"/>
        </w:numPr>
        <w:spacing w:before="0" w:after="5" w:line="251" w:lineRule="auto"/>
        <w:ind w:left="709" w:right="2" w:hanging="281"/>
      </w:pPr>
      <w:r>
        <w:rPr>
          <w:rFonts w:cs="Arial" w:hAnsi="Arial" w:eastAsia="Arial" w:ascii="Arial"/>
          <w:sz w:val="18"/>
        </w:rPr>
        <w:t xml:space="preserve">avoir le sens élevé de l’accueil et notions de protocole</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être apte de travailler sous pression</w:t>
      </w:r>
      <w:r>
        <w:rPr>
          <w:rFonts w:cs="Arial" w:hAnsi="Arial" w:eastAsia="Arial" w:ascii="Arial"/>
          <w:sz w:val="18"/>
        </w:rPr>
        <w:t xml:space="preserve"> ; </w:t>
      </w:r>
    </w:p>
    <w:p>
      <w:pPr>
        <w:numPr>
          <w:ilvl w:val="0"/>
          <w:numId w:val="34"/>
        </w:numPr>
        <w:spacing w:before="0" w:after="5" w:line="251" w:lineRule="auto"/>
        <w:ind w:left="709" w:right="2" w:hanging="281"/>
      </w:pPr>
      <w:r>
        <w:rPr>
          <w:rFonts w:cs="Arial" w:hAnsi="Arial" w:eastAsia="Arial" w:ascii="Arial"/>
          <w:sz w:val="18"/>
        </w:rPr>
        <w:t xml:space="preserve">être d’une grande disponibilité et bonne organisation</w:t>
      </w:r>
      <w:r>
        <w:rPr>
          <w:rFonts w:cs="Arial" w:hAnsi="Arial" w:eastAsia="Arial" w:ascii="Arial"/>
          <w:sz w:val="18"/>
        </w:rPr>
        <w:t xml:space="preserve"> ; </w:t>
      </w:r>
    </w:p>
    <w:p>
      <w:pPr>
        <w:numPr>
          <w:ilvl w:val="0"/>
          <w:numId w:val="34"/>
        </w:numPr>
        <w:spacing w:before="0" w:after="5" w:line="251" w:lineRule="auto"/>
        <w:ind w:left="709" w:right="2" w:hanging="281"/>
      </w:pPr>
      <w:r>
        <w:rPr>
          <w:rFonts w:cs="Arial" w:hAnsi="Arial" w:eastAsia="Arial" w:ascii="Arial"/>
          <w:sz w:val="18"/>
        </w:rPr>
        <w:t xml:space="preserve">maîtriser la langue française et un usage courant de l’anglais est souhaité.</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50" w:line="259" w:lineRule="auto"/>
        <w:ind w:left="0" w:firstLine="0"/>
        <w:jc w:val="left"/>
      </w:pPr>
      <w:r>
        <w:rPr>
          <w:rFonts w:cs="Arial" w:hAnsi="Arial" w:eastAsia="Arial" w:ascii="Arial"/>
          <w:sz w:val="18"/>
        </w:rPr>
        <w:t xml:space="preserve"> </w:t>
      </w:r>
    </w:p>
    <w:p>
      <w:pPr>
        <w:pStyle w:val="heading4"/>
        <w:pBdr>
          <w:top w:val="single" w:color="000000" w:sz="4"/>
          <w:left w:val="single" w:color="000000" w:sz="4"/>
          <w:bottom w:val="single" w:color="000000" w:sz="4"/>
          <w:right w:val="single" w:color="000000" w:sz="4"/>
        </w:pBdr>
        <w:spacing w:before="0" w:after="0" w:line="259" w:lineRule="auto"/>
        <w:ind w:left="364" w:right="359"/>
        <w:jc w:val="center"/>
      </w:pPr>
      <w:r>
        <w:rPr>
          <w:rFonts w:cs="Times New Roman" w:hAnsi="Times New Roman" w:eastAsia="Times New Roman" w:ascii="Times New Roman"/>
          <w:b w:val="1"/>
          <w:u w:val="none" w:color="000000"/>
        </w:rPr>
        <w:t xml:space="preserve">CHAUFFEUR/AGENT DE LIAISON</w:t>
      </w:r>
      <w:r>
        <w:rPr>
          <w:rFonts w:cs="Times New Roman" w:hAnsi="Times New Roman" w:eastAsia="Times New Roman" w:ascii="Times New Roman"/>
          <w:b w:val="1"/>
          <w:u w:val="none" w:color="000000"/>
        </w:rPr>
        <w:t xml:space="preserve"> </w:t>
      </w:r>
    </w:p>
    <w:tbl>
      <w:tblPr>
        <w:tblStyle w:val="TableGrid"/>
        <w:tblW w:w="4313" w:type="dxa"/>
        <w:tblInd w:w="0" w:type="dxa"/>
        <w:tblCellMar>
          <w:top w:w="0" w:type="dxa"/>
          <w:left w:w="0" w:type="dxa"/>
          <w:bottom w:w="0" w:type="dxa"/>
          <w:right w:w="0" w:type="dxa"/>
        </w:tblCellMar>
      </w:tblPr>
      <w:tblGrid>
        <w:gridCol w:w="2124"/>
        <w:gridCol w:w="709"/>
        <w:gridCol w:w="1480"/>
      </w:tblGrid>
      <w:tr>
        <w:trPr>
          <w:trHeight w:val="204"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709" w:type="dxa"/>
            <w:tcBorders>
              <w:top w:val="nil"/>
              <w:left w:val="nil"/>
              <w:bottom w:val="nil"/>
              <w:right w:val="nil"/>
            </w:tcBorders>
            <w:vAlign w:val="bottom"/>
          </w:tcPr>
          <w:p>
            <w:pPr>
              <w:bidi w:val="0"/>
              <w:spacing w:before="0" w:after="160" w:line="259" w:lineRule="auto"/>
              <w:ind w:left="0" w:right="0" w:firstLine="0"/>
              <w:jc w:val="left"/>
            </w:pPr>
          </w:p>
        </w:tc>
        <w:tc>
          <w:tcPr>
            <w:tcW w:w="1480" w:type="dxa"/>
            <w:tcBorders>
              <w:top w:val="nil"/>
              <w:left w:val="nil"/>
              <w:bottom w:val="nil"/>
              <w:right w:val="nil"/>
            </w:tcBorders>
            <w:vAlign w:val="bottom"/>
          </w:tcPr>
          <w:p>
            <w:pPr>
              <w:bidi w:val="0"/>
              <w:spacing w:before="0" w:after="160" w:line="259" w:lineRule="auto"/>
              <w:ind w:left="0" w:right="0" w:firstLine="0"/>
              <w:jc w:val="left"/>
            </w:pPr>
          </w:p>
        </w:tc>
      </w:tr>
      <w:tr>
        <w:trPr>
          <w:trHeight w:val="207"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Lieu d’affectation</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tc>
        <w:tc>
          <w:tcPr>
            <w:tcW w:w="709"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1480"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Ouagadougou</w:t>
            </w:r>
            <w:r>
              <w:rPr>
                <w:rFonts w:cs="Arial" w:hAnsi="Arial" w:eastAsia="Arial" w:ascii="Arial"/>
                <w:sz w:val="18"/>
              </w:rPr>
              <w:t xml:space="preserve"> </w:t>
            </w:r>
          </w:p>
        </w:tc>
      </w:tr>
      <w:tr>
        <w:trPr>
          <w:trHeight w:val="206" w:hRule="atLeast"/>
        </w:trPr>
        <w:tc>
          <w:tcPr>
            <w:tcW w:w="2124"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Durée de l’engagement</w:t>
            </w:r>
            <w:r>
              <w:rPr>
                <w:rFonts w:cs="Arial" w:hAnsi="Arial" w:eastAsia="Arial" w:ascii="Arial"/>
                <w:sz w:val="18"/>
              </w:rPr>
              <w:t xml:space="preserve"> </w:t>
            </w:r>
          </w:p>
        </w:tc>
        <w:tc>
          <w:tcPr>
            <w:tcW w:w="709"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1480" w:type="dxa"/>
            <w:tcBorders>
              <w:top w:val="nil"/>
              <w:left w:val="nil"/>
              <w:bottom w:val="nil"/>
              <w:right w:val="nil"/>
            </w:tcBorders>
            <w:vAlign w:val="top"/>
          </w:tcPr>
          <w:p>
            <w:pPr>
              <w:spacing w:before="0" w:after="0" w:line="259" w:lineRule="auto"/>
              <w:ind w:left="0" w:firstLine="0"/>
            </w:pPr>
            <w:r>
              <w:rPr>
                <w:rFonts w:cs="Arial" w:hAnsi="Arial" w:eastAsia="Arial" w:ascii="Arial"/>
                <w:sz w:val="18"/>
              </w:rPr>
              <w:t xml:space="preserve">1 an renouvelable</w:t>
            </w:r>
            <w:r>
              <w:rPr>
                <w:rFonts w:cs="Arial" w:hAnsi="Arial" w:eastAsia="Arial" w:ascii="Arial"/>
                <w:sz w:val="18"/>
              </w:rPr>
              <w:t xml:space="preserve"> </w:t>
            </w:r>
          </w:p>
        </w:tc>
      </w:tr>
      <w:tr>
        <w:trPr>
          <w:trHeight w:val="203" w:hRule="atLeast"/>
        </w:trPr>
        <w:tc>
          <w:tcPr>
            <w:tcW w:w="2124" w:type="dxa"/>
            <w:tcBorders>
              <w:top w:val="nil"/>
              <w:left w:val="nil"/>
              <w:bottom w:val="nil"/>
              <w:right w:val="nil"/>
            </w:tcBorders>
            <w:vAlign w:val="top"/>
          </w:tcPr>
          <w:p>
            <w:pPr>
              <w:tabs>
                <w:tab w:val="center" w:pos="1416"/>
              </w:tabs>
              <w:spacing w:before="0" w:after="0" w:line="259" w:lineRule="auto"/>
              <w:ind w:left="0" w:firstLine="0"/>
              <w:jc w:val="left"/>
            </w:pPr>
            <w:r>
              <w:rPr>
                <w:rFonts w:cs="Arial" w:hAnsi="Arial" w:eastAsia="Arial" w:ascii="Arial"/>
                <w:sz w:val="18"/>
              </w:rPr>
              <w:t xml:space="preserve">Date de début</w:t>
            </w:r>
            <w:r>
              <w:rPr>
                <w:rFonts w:cs="Arial" w:hAnsi="Arial" w:eastAsia="Arial" w:ascii="Arial"/>
                <w:sz w:val="18"/>
              </w:rPr>
              <w:t xml:space="preserve"> 	 </w:t>
            </w:r>
          </w:p>
        </w:tc>
        <w:tc>
          <w:tcPr>
            <w:tcW w:w="709"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  </w:t>
            </w:r>
          </w:p>
        </w:tc>
        <w:tc>
          <w:tcPr>
            <w:tcW w:w="1480" w:type="dxa"/>
            <w:tcBorders>
              <w:top w:val="nil"/>
              <w:left w:val="nil"/>
              <w:bottom w:val="nil"/>
              <w:right w:val="nil"/>
            </w:tcBorders>
            <w:vAlign w:val="top"/>
          </w:tcPr>
          <w:p>
            <w:pPr>
              <w:spacing w:before="0" w:after="0" w:line="259" w:lineRule="auto"/>
              <w:ind w:left="0" w:firstLine="0"/>
              <w:jc w:val="left"/>
            </w:pPr>
            <w:r>
              <w:rPr>
                <w:rFonts w:cs="Arial" w:hAnsi="Arial" w:eastAsia="Arial" w:ascii="Arial"/>
                <w:sz w:val="18"/>
              </w:rPr>
              <w:t xml:space="preserve">2011</w:t>
            </w:r>
            <w:r>
              <w:rPr>
                <w:rFonts w:cs="Arial" w:hAnsi="Arial" w:eastAsia="Arial" w:ascii="Arial"/>
                <w:sz w:val="18"/>
              </w:rPr>
              <w:t xml:space="preserve"> </w:t>
            </w:r>
          </w:p>
        </w:tc>
      </w:tr>
    </w:tbl>
    <w:p>
      <w:pPr>
        <w:spacing w:before="0" w:after="0"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5"/>
        </w:numPr>
        <w:spacing w:before="0" w:after="5" w:line="251" w:lineRule="auto"/>
        <w:ind w:left="360" w:right="2" w:hanging="360"/>
      </w:pPr>
      <w:r>
        <w:rPr>
          <w:rFonts w:cs="Arial" w:hAnsi="Arial" w:eastAsia="Arial" w:ascii="Arial"/>
          <w:sz w:val="18"/>
        </w:rPr>
        <w:t xml:space="preserve">Sous la supervision directe du Coordonnateur</w:t>
      </w:r>
      <w:r>
        <w:rPr>
          <w:rFonts w:cs="Arial" w:hAnsi="Arial" w:eastAsia="Arial" w:ascii="Arial"/>
          <w:sz w:val="18"/>
        </w:rPr>
        <w:t xml:space="preserve"> </w:t>
      </w:r>
      <w:r>
        <w:rPr>
          <w:rFonts w:cs="Arial" w:hAnsi="Arial" w:eastAsia="Arial" w:ascii="Arial"/>
          <w:sz w:val="18"/>
        </w:rPr>
        <w:t xml:space="preserve">du Projet, le Chauffeur </w:t>
      </w:r>
      <w:r>
        <w:rPr>
          <w:rFonts w:cs="Arial" w:hAnsi="Arial" w:eastAsia="Arial" w:ascii="Arial"/>
          <w:sz w:val="18"/>
        </w:rPr>
        <w:t xml:space="preserve">– </w:t>
      </w:r>
      <w:r>
        <w:rPr>
          <w:rFonts w:cs="Arial" w:hAnsi="Arial" w:eastAsia="Arial" w:ascii="Arial"/>
          <w:sz w:val="18"/>
        </w:rPr>
        <w:t xml:space="preserve">agent de liaison responsable du parc de véhicules assurera les tâches de gestion opérationnelle de l’ensemble du parc automobile. Il exécutera les tâches suivantes</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5"/>
        </w:numPr>
        <w:spacing w:before="0" w:after="5" w:line="251" w:lineRule="auto"/>
        <w:ind w:left="360" w:right="2" w:hanging="360"/>
      </w:pPr>
      <w:r>
        <w:rPr>
          <w:rFonts w:cs="Arial" w:hAnsi="Arial" w:eastAsia="Arial" w:ascii="Arial"/>
          <w:sz w:val="18"/>
        </w:rPr>
        <w:t xml:space="preserve">assurer le transport du personnel du projet et des biens selon les instructions du Coordonnateur Technique National ou de l’Assistant(e) Administratif(e) et financier(e)</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assurer le nettoyage et l’entretien courant des véhicules qui lui sont affectés</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assurer la surveillance des réparations de ces véhicules</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assurer la gestion quotidienne du parc de véhicules acquis pour la sous</w:t>
      </w:r>
      <w:r>
        <w:rPr>
          <w:rFonts w:cs="Arial" w:hAnsi="Arial" w:eastAsia="Arial" w:ascii="Arial"/>
          <w:sz w:val="18"/>
        </w:rPr>
        <w:t xml:space="preserve">-</w:t>
      </w:r>
      <w:r>
        <w:rPr>
          <w:rFonts w:cs="Arial" w:hAnsi="Arial" w:eastAsia="Arial" w:ascii="Arial"/>
          <w:sz w:val="18"/>
        </w:rPr>
        <w:t xml:space="preserve">composante;</w:t>
      </w:r>
      <w:r>
        <w:rPr>
          <w:rFonts w:cs="Arial" w:hAnsi="Arial" w:eastAsia="Arial" w:ascii="Arial"/>
          <w:sz w:val="18"/>
        </w:rPr>
        <w:t xml:space="preserve">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signaler tout dysfonctionnement des véhicules afin d’assurer à temps le service de garage</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la transmission du courrier extérieur</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assurer toutes autres tâches à lui confiées par le Coordonnateur Technique National.</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3" w:line="259" w:lineRule="auto"/>
        <w:ind w:left="-5"/>
        <w:jc w:val="left"/>
      </w:pPr>
      <w:r>
        <w:rPr>
          <w:rFonts w:cs="Arial" w:hAnsi="Arial" w:eastAsia="Arial" w:ascii="Arial"/>
          <w:sz w:val="18"/>
          <w:u w:val="single" w:color="000000"/>
        </w:rPr>
        <w:t xml:space="preserve">Qualifications requises</w:t>
      </w:r>
      <w:r>
        <w:rPr>
          <w:rFonts w:cs="Arial" w:hAnsi="Arial" w:eastAsia="Arial" w:ascii="Arial"/>
          <w:sz w:val="18"/>
        </w:rPr>
        <w:t xml:space="preserve"> </w:t>
      </w:r>
      <w:r>
        <w:rPr>
          <w:rFonts w:cs="Arial" w:hAnsi="Arial" w:eastAsia="Arial" w:ascii="Arial"/>
          <w:sz w:val="18"/>
        </w:rPr>
        <w:t xml:space="preserve">:</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numPr>
          <w:ilvl w:val="0"/>
          <w:numId w:val="35"/>
        </w:numPr>
        <w:spacing w:before="0" w:after="5" w:line="251" w:lineRule="auto"/>
        <w:ind w:left="360" w:right="2" w:hanging="360"/>
      </w:pPr>
      <w:r>
        <w:rPr>
          <w:rFonts w:cs="Arial" w:hAnsi="Arial" w:eastAsia="Arial" w:ascii="Arial"/>
          <w:sz w:val="18"/>
        </w:rPr>
        <w:t xml:space="preserve">permis de conduire catégories B, C</w:t>
      </w:r>
      <w:r>
        <w:rPr>
          <w:rFonts w:cs="Arial" w:hAnsi="Arial" w:eastAsia="Arial" w:ascii="Arial"/>
          <w:sz w:val="18"/>
        </w:rPr>
        <w:t xml:space="preserve"> ; </w:t>
      </w:r>
      <w:r>
        <w:rPr>
          <w:rFonts w:cs="Segoe UI Symbol" w:hAnsi="Segoe UI Symbol" w:eastAsia="Segoe UI Symbol" w:ascii="Segoe UI Symbol"/>
          <w:sz w:val="20"/>
        </w:rPr>
        <w:t xml:space="preserve"></w:t>
      </w:r>
      <w:r>
        <w:rPr>
          <w:rFonts w:cs="Arial" w:hAnsi="Arial" w:eastAsia="Arial" w:ascii="Arial"/>
          <w:sz w:val="18"/>
        </w:rPr>
        <w:t xml:space="preserve"> 	</w:t>
      </w:r>
      <w:r>
        <w:rPr>
          <w:rFonts w:cs="Arial" w:hAnsi="Arial" w:eastAsia="Arial" w:ascii="Arial"/>
          <w:sz w:val="18"/>
        </w:rPr>
        <w:t xml:space="preserve">niveau BEPC</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expérience d’au moins 5 ans</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bonne connaissance en mécanique</w:t>
      </w:r>
      <w:r>
        <w:rPr>
          <w:rFonts w:cs="Arial" w:hAnsi="Arial" w:eastAsia="Arial" w:ascii="Arial"/>
          <w:sz w:val="18"/>
        </w:rPr>
        <w:t xml:space="preserve"> ; </w:t>
      </w:r>
    </w:p>
    <w:p>
      <w:pPr>
        <w:numPr>
          <w:ilvl w:val="0"/>
          <w:numId w:val="35"/>
        </w:numPr>
        <w:spacing w:before="0" w:after="5" w:line="251" w:lineRule="auto"/>
        <w:ind w:left="360" w:right="2" w:hanging="360"/>
      </w:pPr>
      <w:r>
        <w:rPr>
          <w:rFonts w:cs="Arial" w:hAnsi="Arial" w:eastAsia="Arial" w:ascii="Arial"/>
          <w:sz w:val="18"/>
        </w:rPr>
        <w:t xml:space="preserve">aptitude aux voyages, notamment de longue distance et sur voies non bitumées.</w:t>
      </w:r>
      <w:r>
        <w:rPr>
          <w:rFonts w:cs="Arial" w:hAnsi="Arial" w:eastAsia="Arial" w:ascii="Arial"/>
          <w:sz w:val="18"/>
        </w:rPr>
        <w:t xml:space="preserve"> </w:t>
      </w:r>
    </w:p>
    <w:p>
      <w:pPr>
        <w:spacing w:before="0" w:after="0" w:line="259" w:lineRule="auto"/>
        <w:ind w:left="0" w:firstLine="0"/>
        <w:jc w:val="left"/>
      </w:pPr>
      <w:r>
        <w:rPr>
          <w:rFonts w:cs="Arial" w:hAnsi="Arial" w:eastAsia="Arial" w:ascii="Arial"/>
          <w:sz w:val="18"/>
        </w:rPr>
        <w:t xml:space="preserve"> </w:t>
      </w:r>
    </w:p>
    <w:p>
      <w:pPr>
        <w:spacing w:before="0" w:after="21" w:line="259" w:lineRule="auto"/>
        <w:ind w:left="0" w:firstLine="0"/>
        <w:jc w:val="left"/>
      </w:pPr>
      <w:r>
        <w:rPr>
          <w:rFonts w:cs="Arial" w:hAnsi="Arial" w:eastAsia="Arial" w:ascii="Arial"/>
          <w:sz w:val="18"/>
        </w:rPr>
        <w:t xml:space="preserve"> </w:t>
      </w:r>
    </w:p>
    <w:p>
      <w:pPr>
        <w:spacing w:before="0" w:after="0" w:line="259" w:lineRule="auto"/>
        <w:ind w:left="0" w:firstLine="0"/>
        <w:jc w:val="left"/>
      </w:pPr>
      <w:r>
        <w:rPr>
          <w:rFonts w:cs="Times New Roman" w:hAnsi="Times New Roman" w:eastAsia="Times New Roman" w:ascii="Times New Roman"/>
          <w:b w:val="1"/>
        </w:rPr>
        <w:t xml:space="preserve"> </w:t>
      </w:r>
    </w:p>
    <w:sectPr>
      <w:headerReference w:type="even" r:id="rId47"/>
      <w:headerReference w:type="default" r:id="rId45"/>
      <w:headerReference w:type="first" r:id="rId43"/>
      <w:footerReference w:type="even" r:id="rId48"/>
      <w:footerReference w:type="default" r:id="rId46"/>
      <w:footerReference w:type="first" r:id="rId44"/>
      <w:pgSz w:w="11906" w:h="16838" w:orient="portrait"/>
      <w:pgMar w:header="718" w:footer="717" w:left="1078" w:top="1596" w:right="1069" w:bottom="1453"/>
      <w:pgNumType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319" w:right="48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5" w:line="259" w:lineRule="auto"/>
      <w:ind w:left="215" w:firstLine="0"/>
      <w:jc w:val="center"/>
    </w:pPr>
    <w:fldSimple w:instr=" PAGE   \* MERGEFORMAT ">
      <w:r>
        <w:rPr>
          <w:rFonts w:cs="Times New Roman" w:hAnsi="Times New Roman" w:eastAsia="Times New Roman" w:ascii="Times New Roman"/>
          <w:b w:val="1"/>
          <w:sz w:val="20"/>
        </w:rPr>
        <w:t xml:space="preserve">31</w:t>
      </w:r>
    </w:fldSimple>
  </w:p>
  <w:p>
    <w:pPr>
      <w:spacing w:before="0" w:after="0" w:line="259" w:lineRule="auto"/>
      <w:ind w:left="0" w:firstLine="0"/>
      <w:jc w:val="left"/>
    </w:pPr>
    <w:r>
      <w:rPr>
        <w:sz w:val="24"/>
      </w:rPr>
      <w:t xml:space="preserve"> </w:t>
    </w: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319" w:firstLine="0"/>
      <w:jc w:val="center"/>
    </w:pPr>
    <w:r>
      <w:rPr>
        <w:sz w:val="24"/>
      </w:rPr>
      <w:t xml:space="preserve">Page </w:t>
    </w:r>
    <w:fldSimple w:instr=" PAGE   \* MERGEFORMAT ">
      <w:r>
        <w:rPr>
          <w:rFonts w:cs="Times New Roman" w:hAnsi="Times New Roman" w:eastAsia="Times New Roman" w:ascii="Times New Roman"/>
          <w:b w:val="1"/>
          <w:sz w:val="24"/>
        </w:rPr>
        <w:t xml:space="preserve">33</w:t>
      </w:r>
    </w:fldSimple>
    <w:r>
      <w:rPr>
        <w:sz w:val="24"/>
      </w:rPr>
      <w:t xml:space="preserve"> </w:t>
    </w:r>
    <w:r>
      <w:rPr>
        <w:sz w:val="24"/>
      </w:rPr>
      <w:t xml:space="preserve">sur </w:t>
    </w:r>
    <w:fldSimple w:instr=" NUMPAGES   \* MERGEFORMAT ">
      <w:r>
        <w:rPr>
          <w:rFonts w:cs="Times New Roman" w:hAnsi="Times New Roman" w:eastAsia="Times New Roman" w:ascii="Times New Roman"/>
          <w:b w:val="1"/>
          <w:sz w:val="24"/>
        </w:rPr>
        <w:t xml:space="preserve">60</w:t>
      </w:r>
    </w:fldSimple>
    <w:r>
      <w:rPr>
        <w:sz w:val="24"/>
      </w:rPr>
      <w:t xml:space="preserve"> </w:t>
    </w:r>
  </w:p>
  <w:p>
    <w:pPr>
      <w:spacing w:before="0" w:after="0" w:line="259" w:lineRule="auto"/>
      <w:ind w:left="0" w:firstLine="0"/>
      <w:jc w:val="left"/>
    </w:pPr>
    <w:r>
      <w:rPr>
        <w:sz w:val="24"/>
      </w:rPr>
      <w:t xml:space="preserve"> </w:t>
    </w:r>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5" w:line="259" w:lineRule="auto"/>
      <w:ind w:left="215" w:firstLine="0"/>
      <w:jc w:val="center"/>
    </w:pPr>
    <w:fldSimple w:instr=" PAGE   \* MERGEFORMAT ">
      <w:r>
        <w:rPr>
          <w:rFonts w:cs="Times New Roman" w:hAnsi="Times New Roman" w:eastAsia="Times New Roman" w:ascii="Times New Roman"/>
          <w:b w:val="1"/>
          <w:sz w:val="20"/>
        </w:rPr>
        <w:t xml:space="preserve">31</w:t>
      </w:r>
    </w:fldSimple>
  </w:p>
  <w:p>
    <w:pPr>
      <w:spacing w:before="0" w:after="0" w:line="259" w:lineRule="auto"/>
      <w:ind w:left="0" w:firstLine="0"/>
      <w:jc w:val="left"/>
    </w:pPr>
    <w:r>
      <w:rPr>
        <w:sz w:val="24"/>
      </w:rPr>
      <w:t xml:space="preserve"> </w:t>
    </w:r>
  </w:p>
</w:ftr>
</file>

<file path=word/footer1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3101" w:firstLine="0"/>
      <w:jc w:val="center"/>
    </w:pPr>
    <w:r>
      <w:rPr>
        <w:sz w:val="24"/>
      </w:rPr>
      <w:t xml:space="preserve">Page </w:t>
    </w:r>
    <w:fldSimple w:instr=" PAGE   \* MERGEFORMAT ">
      <w:r>
        <w:rPr>
          <w:rFonts w:cs="Times New Roman" w:hAnsi="Times New Roman" w:eastAsia="Times New Roman" w:ascii="Times New Roman"/>
          <w:b w:val="1"/>
          <w:sz w:val="24"/>
        </w:rPr>
        <w:t xml:space="preserve">33</w:t>
      </w:r>
    </w:fldSimple>
    <w:r>
      <w:rPr>
        <w:sz w:val="24"/>
      </w:rPr>
      <w:t xml:space="preserve"> </w:t>
    </w:r>
    <w:r>
      <w:rPr>
        <w:sz w:val="24"/>
      </w:rPr>
      <w:t xml:space="preserve">sur </w:t>
    </w:r>
    <w:fldSimple w:instr=" NUMPAGES   \* MERGEFORMAT ">
      <w:r>
        <w:rPr>
          <w:rFonts w:cs="Times New Roman" w:hAnsi="Times New Roman" w:eastAsia="Times New Roman" w:ascii="Times New Roman"/>
          <w:b w:val="1"/>
          <w:sz w:val="24"/>
        </w:rPr>
        <w:t xml:space="preserve">60</w:t>
      </w:r>
    </w:fldSimple>
    <w:r>
      <w:rPr>
        <w:sz w:val="24"/>
      </w:rPr>
      <w:t xml:space="preserve"> </w:t>
    </w:r>
  </w:p>
  <w:p>
    <w:pPr>
      <w:spacing w:before="0" w:after="0" w:line="259" w:lineRule="auto"/>
      <w:ind w:left="0" w:firstLine="0"/>
      <w:jc w:val="left"/>
    </w:pPr>
    <w:r>
      <w:rPr>
        <w:sz w:val="24"/>
      </w:rPr>
      <w:t xml:space="preserve"> </w:t>
    </w:r>
  </w:p>
</w:ftr>
</file>

<file path=word/footer1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3101" w:firstLine="0"/>
      <w:jc w:val="center"/>
    </w:pPr>
    <w:r>
      <w:rPr>
        <w:sz w:val="24"/>
      </w:rPr>
      <w:t xml:space="preserve">Page </w:t>
    </w:r>
    <w:fldSimple w:instr=" PAGE   \* MERGEFORMAT ">
      <w:r>
        <w:rPr>
          <w:rFonts w:cs="Times New Roman" w:hAnsi="Times New Roman" w:eastAsia="Times New Roman" w:ascii="Times New Roman"/>
          <w:b w:val="1"/>
          <w:sz w:val="24"/>
        </w:rPr>
        <w:t xml:space="preserve">33</w:t>
      </w:r>
    </w:fldSimple>
    <w:r>
      <w:rPr>
        <w:sz w:val="24"/>
      </w:rPr>
      <w:t xml:space="preserve"> </w:t>
    </w:r>
    <w:r>
      <w:rPr>
        <w:sz w:val="24"/>
      </w:rPr>
      <w:t xml:space="preserve">sur </w:t>
    </w:r>
    <w:fldSimple w:instr=" NUMPAGES   \* MERGEFORMAT ">
      <w:r>
        <w:rPr>
          <w:rFonts w:cs="Times New Roman" w:hAnsi="Times New Roman" w:eastAsia="Times New Roman" w:ascii="Times New Roman"/>
          <w:b w:val="1"/>
          <w:sz w:val="24"/>
        </w:rPr>
        <w:t xml:space="preserve">60</w:t>
      </w:r>
    </w:fldSimple>
    <w:r>
      <w:rPr>
        <w:sz w:val="24"/>
      </w:rPr>
      <w:t xml:space="preserve"> </w:t>
    </w:r>
  </w:p>
  <w:p>
    <w:pPr>
      <w:spacing w:before="0" w:after="0" w:line="259" w:lineRule="auto"/>
      <w:ind w:left="0" w:firstLine="0"/>
      <w:jc w:val="left"/>
    </w:pPr>
    <w:r>
      <w:rPr>
        <w:sz w:val="24"/>
      </w:rPr>
      <w:t xml:space="preserve"> </w:t>
    </w:r>
  </w:p>
</w:ftr>
</file>

<file path=word/footer1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3101" w:firstLine="0"/>
      <w:jc w:val="center"/>
    </w:pPr>
    <w:r>
      <w:rPr>
        <w:sz w:val="24"/>
      </w:rPr>
      <w:t xml:space="preserve">Page </w:t>
    </w:r>
    <w:fldSimple w:instr=" PAGE   \* MERGEFORMAT ">
      <w:r>
        <w:rPr>
          <w:rFonts w:cs="Times New Roman" w:hAnsi="Times New Roman" w:eastAsia="Times New Roman" w:ascii="Times New Roman"/>
          <w:b w:val="1"/>
          <w:sz w:val="24"/>
        </w:rPr>
        <w:t xml:space="preserve">33</w:t>
      </w:r>
    </w:fldSimple>
    <w:r>
      <w:rPr>
        <w:sz w:val="24"/>
      </w:rPr>
      <w:t xml:space="preserve"> </w:t>
    </w:r>
    <w:r>
      <w:rPr>
        <w:sz w:val="24"/>
      </w:rPr>
      <w:t xml:space="preserve">sur </w:t>
    </w:r>
    <w:fldSimple w:instr=" NUMPAGES   \* MERGEFORMAT ">
      <w:r>
        <w:rPr>
          <w:rFonts w:cs="Times New Roman" w:hAnsi="Times New Roman" w:eastAsia="Times New Roman" w:ascii="Times New Roman"/>
          <w:b w:val="1"/>
          <w:sz w:val="24"/>
        </w:rPr>
        <w:t xml:space="preserve">60</w:t>
      </w:r>
    </w:fldSimple>
    <w:r>
      <w:rPr>
        <w:sz w:val="24"/>
      </w:rPr>
      <w:t xml:space="preserve"> </w:t>
    </w:r>
  </w:p>
  <w:p>
    <w:pPr>
      <w:spacing w:before="0" w:after="0" w:line="259" w:lineRule="auto"/>
      <w:ind w:left="0" w:firstLine="0"/>
      <w:jc w:val="left"/>
    </w:pPr>
    <w:r>
      <w:rPr>
        <w:sz w:val="24"/>
      </w:rPr>
      <w:t xml:space="preserve"> </w:t>
    </w:r>
  </w:p>
</w:ftr>
</file>

<file path=word/footer1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1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1400" w:firstLine="0"/>
      <w:jc w:val="center"/>
    </w:pPr>
    <w:r>
      <w:rPr>
        <w:sz w:val="20"/>
      </w:rPr>
      <w:t xml:space="preserve">60</w:t>
    </w:r>
    <w:r>
      <w:rPr>
        <w:sz w:val="24"/>
      </w:rPr>
      <w:t xml:space="preserve"> </w:t>
    </w:r>
  </w:p>
  <w:p>
    <w:pPr>
      <w:spacing w:before="0" w:after="0" w:line="259" w:lineRule="auto"/>
      <w:ind w:left="0" w:firstLine="0"/>
      <w:jc w:val="left"/>
    </w:pPr>
    <w:r>
      <w:rPr>
        <w:sz w:val="24"/>
      </w:rPr>
      <w:t xml:space="preserve"> </w:t>
    </w: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319" w:right="48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2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5913" w:firstLine="6387"/>
      <w:jc w:val="left"/>
    </w:pPr>
    <w:r>
      <w:rPr>
        <w:sz w:val="20"/>
      </w:rPr>
      <w:t xml:space="preserve">Page </w:t>
    </w:r>
    <w:fldSimple w:instr=" PAGE   \* MERGEFORMAT ">
      <w:r>
        <w:rPr>
          <w:rFonts w:cs="Times New Roman" w:hAnsi="Times New Roman" w:eastAsia="Times New Roman" w:ascii="Times New Roman"/>
          <w:b w:val="1"/>
          <w:sz w:val="20"/>
        </w:rPr>
        <w:t xml:space="preserve">50</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2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5913" w:firstLine="6387"/>
      <w:jc w:val="left"/>
    </w:pPr>
    <w:r>
      <w:rPr>
        <w:sz w:val="20"/>
      </w:rPr>
      <w:t xml:space="preserve">Page </w:t>
    </w:r>
    <w:fldSimple w:instr=" PAGE   \* MERGEFORMAT ">
      <w:r>
        <w:rPr>
          <w:rFonts w:cs="Times New Roman" w:hAnsi="Times New Roman" w:eastAsia="Times New Roman" w:ascii="Times New Roman"/>
          <w:b w:val="1"/>
          <w:sz w:val="20"/>
        </w:rPr>
        <w:t xml:space="preserve">50</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2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42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2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42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2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42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319" w:right="48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48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48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35" w:lineRule="auto"/>
      <w:ind w:left="0" w:right="4882" w:firstLine="4335"/>
      <w:jc w:val="left"/>
    </w:pPr>
    <w:r>
      <w:rPr>
        <w:sz w:val="20"/>
      </w:rPr>
      <w:t xml:space="preserve">Page </w:t>
    </w:r>
    <w:fldSimple w:instr=" PAGE   \* MERGEFORMAT ">
      <w:r>
        <w:rPr>
          <w:rFonts w:cs="Times New Roman" w:hAnsi="Times New Roman" w:eastAsia="Times New Roman" w:ascii="Times New Roman"/>
          <w:b w:val="1"/>
          <w:sz w:val="20"/>
        </w:rPr>
        <w:t xml:space="preserve">1</w:t>
      </w:r>
    </w:fldSimple>
    <w:r>
      <w:rPr>
        <w:sz w:val="20"/>
      </w:rPr>
      <w:t xml:space="preserve"> </w:t>
    </w:r>
    <w:r>
      <w:rPr>
        <w:sz w:val="20"/>
      </w:rPr>
      <w:t xml:space="preserve">sur </w:t>
    </w:r>
    <w:fldSimple w:instr=" NUMPAGES   \* MERGEFORMAT ">
      <w:r>
        <w:rPr>
          <w:sz w:val="20"/>
        </w:rPr>
        <w:t xml:space="preserve">60</w:t>
      </w:r>
    </w:fldSimple>
    <w:r>
      <w:rPr>
        <w:sz w:val="24"/>
      </w:rPr>
      <w:t xml:space="preserve">  </w:t>
    </w: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0" w:line="259" w:lineRule="auto"/>
        <w:ind w:left="319" w:firstLine="0"/>
        <w:jc w:val="left"/>
      </w:pPr>
      <w:r>
        <w:separator/>
      </w:r>
    </w:p>
  </w:footnote>
  <w:footnote w:type="continuationSeparator" w:id="0">
    <w:p>
      <w:pPr>
        <w:spacing w:before="0" w:after="0" w:line="259" w:lineRule="auto"/>
        <w:ind w:left="319" w:firstLine="0"/>
        <w:jc w:val="left"/>
      </w:pPr>
      <w:r>
        <w:continuationSeparator/>
      </w:r>
    </w:p>
  </w:footnote>
  <w:footnote w:id="49">
    <w:p>
      <w:pPr>
        <w:pStyle w:val="footnote description"/>
        <w:spacing w:before="0" w:after="0" w:line="259" w:lineRule="auto"/>
      </w:pPr>
      <w:r>
        <w:rPr>
          <w:rStyle w:val="footnote mark"/>
        </w:rPr>
        <w:footnoteRef/>
      </w:r>
      <w:r>
        <w:t xml:space="preserve"/>
      </w:r>
      <w:r>
        <w:t xml:space="preserve"> </w:t>
      </w:r>
      <w:r>
        <w:rPr/>
        <w:t xml:space="preserve">MEF, 2009, Résultats définitifs projections démographiques 2007</w:t>
      </w:r>
      <w:r>
        <w:rPr/>
        <w:t xml:space="preserve">-</w:t>
      </w:r>
      <w:r>
        <w:rPr/>
        <w:t xml:space="preserve">2050</w:t>
      </w:r>
      <w:r>
        <w:rPr/>
        <w:t xml:space="preserve"> </w:t>
      </w:r>
    </w:p>
  </w:footnote>
  <w:footnote w:id="50">
    <w:p>
      <w:pPr>
        <w:pStyle w:val="footnote description"/>
        <w:spacing w:before="0" w:after="0" w:line="259" w:lineRule="auto"/>
      </w:pPr>
      <w:r>
        <w:rPr>
          <w:rStyle w:val="footnote mark"/>
        </w:rPr>
        <w:footnoteRef/>
      </w:r>
      <w:r>
        <w:t xml:space="preserve"/>
      </w:r>
      <w:r>
        <w:t xml:space="preserve"> </w:t>
      </w:r>
      <w:r>
        <w:rPr/>
        <w:t xml:space="preserve">Déclaration de politique générale 2011</w:t>
      </w:r>
      <w:r>
        <w:rPr/>
        <w:t xml:space="preserve"> </w:t>
      </w:r>
    </w:p>
  </w:footnote>
  <w:footnote w:id="51">
    <w:p>
      <w:pPr>
        <w:pStyle w:val="footnote description"/>
        <w:spacing w:before="0" w:after="0" w:line="259" w:lineRule="auto"/>
      </w:pPr>
      <w:r>
        <w:rPr>
          <w:rStyle w:val="footnote mark"/>
        </w:rPr>
        <w:footnoteRef/>
      </w:r>
      <w:r>
        <w:t xml:space="preserve"/>
      </w:r>
      <w:r>
        <w:t xml:space="preserve"> </w:t>
      </w:r>
      <w:r>
        <w:rPr/>
        <w:t xml:space="preserve">SCADD 2011</w:t>
      </w:r>
      <w:r>
        <w:rPr/>
        <w:t xml:space="preserve">-</w:t>
      </w:r>
      <w:r>
        <w:rPr/>
        <w:t xml:space="preserve">2015</w:t>
      </w:r>
      <w:r>
        <w:rPr/>
        <w:t xml:space="preserve"> </w:t>
      </w:r>
    </w:p>
  </w:footnote>
  <w:footnote w:id="52">
    <w:p>
      <w:pPr>
        <w:pStyle w:val="footnote description"/>
        <w:spacing w:before="0" w:after="0" w:line="259" w:lineRule="auto"/>
      </w:pPr>
      <w:r>
        <w:rPr>
          <w:rStyle w:val="footnote mark"/>
        </w:rPr>
        <w:footnoteRef/>
      </w:r>
      <w:r>
        <w:t xml:space="preserve"/>
      </w:r>
      <w:r>
        <w:t xml:space="preserve"> </w:t>
      </w:r>
      <w:r>
        <w:rPr/>
        <w:t xml:space="preserve">SCADD 2011</w:t>
      </w:r>
      <w:r>
        <w:rPr/>
        <w:t xml:space="preserve">-</w:t>
      </w:r>
      <w:r>
        <w:rPr/>
        <w:t xml:space="preserve">2015</w:t>
      </w:r>
      <w:r>
        <w:rPr/>
        <w:t xml:space="preserve"> </w:t>
      </w:r>
    </w:p>
  </w:footnote>
  <w:footnote w:id="53">
    <w:p>
      <w:pPr>
        <w:pStyle w:val="footnote description"/>
        <w:spacing w:before="0" w:after="0" w:line="259" w:lineRule="auto"/>
      </w:pPr>
      <w:r>
        <w:rPr>
          <w:rStyle w:val="footnote mark"/>
        </w:rPr>
        <w:footnoteRef/>
      </w:r>
      <w:r>
        <w:t xml:space="preserve"/>
      </w:r>
      <w:r>
        <w:t xml:space="preserve"> </w:t>
      </w:r>
      <w:r>
        <w:rPr/>
        <w:t xml:space="preserve">MEF, 2009, Résultats définitifs projections démographiques 2007</w:t>
      </w:r>
      <w:r>
        <w:rPr/>
        <w:t xml:space="preserve">-</w:t>
      </w:r>
      <w:r>
        <w:rPr/>
        <w:t xml:space="preserve">2050</w:t>
      </w:r>
      <w:r>
        <w:rPr/>
        <w:t xml:space="preserve"> </w:t>
      </w:r>
    </w:p>
  </w:footnote>
  <w:footnote w:id="54">
    <w:p>
      <w:pPr>
        <w:pStyle w:val="footnote description"/>
        <w:spacing w:before="0" w:after="0" w:line="259" w:lineRule="auto"/>
      </w:pPr>
      <w:r>
        <w:rPr>
          <w:rStyle w:val="footnote mark"/>
        </w:rPr>
        <w:footnoteRef/>
      </w:r>
      <w:r>
        <w:t xml:space="preserve"/>
      </w:r>
      <w:r>
        <w:t xml:space="preserve"> </w:t>
      </w:r>
      <w:r>
        <w:rPr>
          <w:rFonts w:cs="Times New Roman" w:hAnsi="Times New Roman" w:eastAsia="Times New Roman" w:ascii="Times New Roman"/>
          <w:sz w:val="20"/>
        </w:rPr>
        <w:t xml:space="preserve">Programme National de Gestion Durable des Ressources Forestières et Faunique 2006</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2015</w:t>
      </w:r>
      <w:r>
        <w:rPr>
          <w:rFonts w:cs="Times New Roman" w:hAnsi="Times New Roman" w:eastAsia="Times New Roman" w:ascii="Times New Roman"/>
          <w:sz w:val="20"/>
        </w:rPr>
        <w:t xml:space="preserve"> </w:t>
      </w:r>
    </w:p>
  </w:footnote>
  <w:footnote w:id="55">
    <w:p>
      <w:pPr>
        <w:pStyle w:val="footnote description"/>
        <w:spacing w:before="0" w:after="77" w:line="259" w:lineRule="auto"/>
        <w:ind w:left="0"/>
      </w:pPr>
      <w:r>
        <w:rPr>
          <w:rStyle w:val="footnote mark"/>
        </w:rPr>
        <w:footnoteRef/>
      </w:r>
      <w:r>
        <w:t xml:space="preserve"/>
      </w:r>
      <w:r>
        <w:t xml:space="preserve"> </w:t>
      </w:r>
      <w:r>
        <w:rPr>
          <w:rFonts w:cs="Times New Roman" w:hAnsi="Times New Roman" w:eastAsia="Times New Roman" w:ascii="Times New Roman"/>
        </w:rPr>
        <w:t xml:space="preserve">Elles seront définies avec l‟unité de coordination après affinement de la situation de référence</w:t>
      </w:r>
      <w:r>
        <w:rPr>
          <w:rFonts w:cs="Times New Roman" w:hAnsi="Times New Roman" w:eastAsia="Times New Roman" w:ascii="Times New Roman"/>
        </w:rPr>
        <w:t xml:space="preserve"> </w:t>
      </w:r>
    </w:p>
  </w:footnote>
  <w:footnote w:id="56">
    <w:p>
      <w:pPr>
        <w:pStyle w:val="footnote description"/>
        <w:spacing w:before="0" w:after="0" w:line="259" w:lineRule="auto"/>
        <w:ind w:left="0"/>
        <w:jc w:val="both"/>
      </w:pPr>
      <w:r>
        <w:rPr>
          <w:rStyle w:val="footnote mark"/>
        </w:rPr>
        <w:footnoteRef/>
      </w:r>
      <w:r>
        <w:t xml:space="preserve"/>
      </w:r>
      <w:r>
        <w:t xml:space="preserve"> </w:t>
      </w:r>
      <w:r>
        <w:rPr>
          <w:rFonts w:cs="Times New Roman" w:hAnsi="Times New Roman" w:eastAsia="Times New Roman" w:ascii="Times New Roman"/>
        </w:rPr>
        <w:t xml:space="preserve">Thèmes transversaux</w:t>
      </w:r>
      <w:r>
        <w:rPr>
          <w:rFonts w:cs="Times New Roman" w:hAnsi="Times New Roman" w:eastAsia="Times New Roman" w:ascii="Times New Roman"/>
        </w:rPr>
        <w:t xml:space="preserve"> </w:t>
      </w:r>
      <w:r>
        <w:rPr>
          <w:rFonts w:cs="Times New Roman" w:hAnsi="Times New Roman" w:eastAsia="Times New Roman" w:ascii="Times New Roman"/>
        </w:rPr>
        <w:t xml:space="preserve">: </w:t>
      </w:r>
      <w:r>
        <w:rPr>
          <w:rFonts w:cs="Times New Roman" w:hAnsi="Times New Roman" w:eastAsia="Times New Roman" w:ascii="Times New Roman"/>
        </w:rPr>
        <w:t xml:space="preserve">environnement</w:t>
      </w:r>
      <w:r>
        <w:rPr>
          <w:rFonts w:cs="Times New Roman" w:hAnsi="Times New Roman" w:eastAsia="Times New Roman" w:ascii="Times New Roman"/>
        </w:rPr>
        <w:t xml:space="preserve">/</w:t>
      </w:r>
      <w:r>
        <w:rPr>
          <w:rFonts w:cs="Times New Roman" w:hAnsi="Times New Roman" w:eastAsia="Times New Roman" w:ascii="Times New Roman"/>
        </w:rPr>
        <w:t xml:space="preserve">changement climatique, </w:t>
      </w:r>
      <w:r>
        <w:rPr>
          <w:rFonts w:cs="Times New Roman" w:hAnsi="Times New Roman" w:eastAsia="Times New Roman" w:ascii="Times New Roman"/>
        </w:rPr>
        <w:t xml:space="preserve"> </w:t>
      </w:r>
      <w:r>
        <w:rPr>
          <w:rFonts w:cs="Times New Roman" w:hAnsi="Times New Roman" w:eastAsia="Times New Roman" w:ascii="Times New Roman"/>
        </w:rPr>
        <w:t xml:space="preserve">prévention des crises, emploi, égalité hommes</w:t>
      </w:r>
      <w:r>
        <w:rPr>
          <w:rFonts w:cs="Times New Roman" w:hAnsi="Times New Roman" w:eastAsia="Times New Roman" w:ascii="Times New Roman"/>
        </w:rPr>
        <w:t xml:space="preserve">-</w:t>
      </w:r>
      <w:r>
        <w:rPr>
          <w:rFonts w:cs="Times New Roman" w:hAnsi="Times New Roman" w:eastAsia="Times New Roman" w:ascii="Times New Roman"/>
        </w:rPr>
        <w:t xml:space="preserve">femmes et </w:t>
      </w:r>
      <w:r>
        <w:rPr>
          <w:rFonts w:cs="Times New Roman" w:hAnsi="Times New Roman" w:eastAsia="Times New Roman" w:ascii="Times New Roman"/>
        </w:rPr>
        <w:t xml:space="preserve"> </w:t>
      </w:r>
      <w:r>
        <w:rPr>
          <w:rFonts w:cs="Times New Roman" w:hAnsi="Times New Roman" w:eastAsia="Times New Roman" w:ascii="Times New Roman"/>
        </w:rPr>
        <w:t xml:space="preserve">questions de droits de l‟homme</w:t>
      </w:r>
      <w:r>
        <w:rPr>
          <w:rFonts w:cs="Times New Roman" w:hAnsi="Times New Roman" w:eastAsia="Times New Roman" w:ascii="Times New Roman"/>
          <w:sz w:val="20"/>
        </w:rPr>
        <w:t xml:space="preserve"> </w:t>
      </w:r>
    </w:p>
  </w:footnote>
  <w:footnote w:id="57">
    <w:p>
      <w:pPr>
        <w:pStyle w:val="footnote description"/>
        <w:spacing w:before="0" w:after="0" w:line="259" w:lineRule="auto"/>
        <w:ind w:left="0"/>
        <w:jc w:val="both"/>
      </w:pPr>
      <w:r>
        <w:rPr>
          <w:rStyle w:val="footnote mark"/>
        </w:rPr>
        <w:footnoteRef/>
      </w:r>
      <w:r>
        <w:t xml:space="preserve"/>
      </w:r>
      <w:r>
        <w:t xml:space="preserve"> </w:t>
      </w:r>
      <w:r>
        <w:rPr>
          <w:rFonts w:cs="Times New Roman" w:hAnsi="Times New Roman" w:eastAsia="Times New Roman" w:ascii="Times New Roman"/>
        </w:rPr>
        <w:t xml:space="preserve">Les thèmes transversaux sont</w:t>
      </w:r>
      <w:r>
        <w:rPr>
          <w:rFonts w:cs="Times New Roman" w:hAnsi="Times New Roman" w:eastAsia="Times New Roman" w:ascii="Times New Roman"/>
        </w:rPr>
        <w:t xml:space="preserve"> </w:t>
      </w:r>
      <w:r>
        <w:rPr>
          <w:rFonts w:cs="Times New Roman" w:hAnsi="Times New Roman" w:eastAsia="Times New Roman" w:ascii="Times New Roman"/>
        </w:rPr>
        <w:t xml:space="preserve">: l‟environnement</w:t>
      </w:r>
      <w:r>
        <w:rPr>
          <w:rFonts w:cs="Times New Roman" w:hAnsi="Times New Roman" w:eastAsia="Times New Roman" w:ascii="Times New Roman"/>
        </w:rPr>
        <w:t xml:space="preserve"> </w:t>
      </w:r>
      <w:r>
        <w:rPr>
          <w:rFonts w:cs="Times New Roman" w:hAnsi="Times New Roman" w:eastAsia="Times New Roman" w:ascii="Times New Roman"/>
        </w:rPr>
        <w:t xml:space="preserve">et le changement climatique, la prévention des crises, l‟emploi, l‟égalité hommes</w:t>
      </w:r>
      <w:r>
        <w:rPr>
          <w:rFonts w:cs="Times New Roman" w:hAnsi="Times New Roman" w:eastAsia="Times New Roman" w:ascii="Times New Roman"/>
        </w:rPr>
        <w:t xml:space="preserve">-</w:t>
      </w:r>
      <w:r>
        <w:rPr>
          <w:rFonts w:cs="Times New Roman" w:hAnsi="Times New Roman" w:eastAsia="Times New Roman" w:ascii="Times New Roman"/>
        </w:rPr>
        <w:t xml:space="preserve">femmes et les questions de droits de l‟homme</w:t>
      </w:r>
      <w:r>
        <w:rPr>
          <w:rFonts w:cs="Times New Roman" w:hAnsi="Times New Roman" w:eastAsia="Times New Roman" w:ascii="Times New Roman"/>
        </w:rPr>
        <w:t xml:space="preserve"> </w:t>
      </w:r>
    </w:p>
  </w:footnote>
</w:footnotes>
</file>

<file path=word/header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10.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1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6984" w:firstLine="0"/>
      <w:jc w:val="center"/>
    </w:pPr>
    <w:r>
      <w:rPr>
        <w:sz w:val="40"/>
      </w:rPr>
      <w:t xml:space="preserve"> </w:t>
    </w:r>
  </w:p>
  <w:p>
    <w:pPr>
      <w:tabs>
        <w:tab w:val="center" w:pos="9074"/>
      </w:tabs>
      <w:spacing w:before="0" w:after="0" w:line="259" w:lineRule="auto"/>
      <w:ind w:left="0" w:firstLine="0"/>
      <w:jc w:val="left"/>
    </w:pPr>
    <w:r>
      <w:rPr>
        <w:sz w:val="37"/>
        <w:vertAlign w:val="subscript"/>
      </w:rPr>
      <w:t xml:space="preserve"> 	</w:t>
    </w:r>
    <w:r>
      <w:rPr>
        <w:sz w:val="24"/>
      </w:rPr>
      <w:t xml:space="preserve">PRODOC/COGEL/BKF</w:t>
    </w:r>
    <w:r>
      <w:rPr>
        <w:sz w:val="24"/>
      </w:rPr>
      <w:t xml:space="preserve"> </w:t>
    </w:r>
  </w:p>
  <w:p>
    <w:pPr>
      <w:spacing w:before="0" w:after="0" w:line="259" w:lineRule="auto"/>
      <w:ind w:left="0" w:firstLine="0"/>
      <w:jc w:val="left"/>
    </w:pPr>
    <w:r>
      <w:rPr>
        <w:sz w:val="2"/>
      </w:rPr>
      <w:t xml:space="preserve"> </w:t>
    </w:r>
  </w:p>
</w:hdr>
</file>

<file path=word/header1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1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9766" w:firstLine="0"/>
      <w:jc w:val="center"/>
    </w:pPr>
    <w:r>
      <w:rPr>
        <w:sz w:val="40"/>
      </w:rPr>
      <w:t xml:space="preserve"> </w:t>
    </w:r>
  </w:p>
  <w:p>
    <w:pPr>
      <w:tabs>
        <w:tab w:val="center" w:pos="9074"/>
      </w:tabs>
      <w:spacing w:before="0" w:after="0" w:line="259" w:lineRule="auto"/>
      <w:ind w:left="0" w:firstLine="0"/>
      <w:jc w:val="left"/>
    </w:pPr>
    <w:r>
      <w:rPr>
        <w:sz w:val="37"/>
        <w:vertAlign w:val="subscript"/>
      </w:rPr>
      <w:t xml:space="preserve"> 	</w:t>
    </w:r>
    <w:r>
      <w:rPr>
        <w:sz w:val="24"/>
      </w:rPr>
      <w:t xml:space="preserve">PRODOC/COGEL/BKF</w:t>
    </w:r>
    <w:r>
      <w:rPr>
        <w:sz w:val="24"/>
      </w:rPr>
      <w:t xml:space="preserve"> </w:t>
    </w:r>
  </w:p>
  <w:p>
    <w:pPr>
      <w:spacing w:before="0" w:after="0" w:line="259" w:lineRule="auto"/>
      <w:ind w:left="0" w:firstLine="0"/>
      <w:jc w:val="left"/>
    </w:pPr>
    <w:r>
      <w:rPr>
        <w:sz w:val="2"/>
      </w:rPr>
      <w:t xml:space="preserve"> </w:t>
    </w:r>
  </w:p>
</w:hdr>
</file>

<file path=word/header14.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9766" w:firstLine="0"/>
      <w:jc w:val="center"/>
    </w:pPr>
    <w:r>
      <w:rPr>
        <w:sz w:val="40"/>
      </w:rPr>
      <w:t xml:space="preserve"> </w:t>
    </w:r>
  </w:p>
  <w:p>
    <w:pPr>
      <w:tabs>
        <w:tab w:val="center" w:pos="9074"/>
      </w:tabs>
      <w:spacing w:before="0" w:after="0" w:line="259" w:lineRule="auto"/>
      <w:ind w:left="0" w:firstLine="0"/>
      <w:jc w:val="left"/>
    </w:pPr>
    <w:r>
      <w:rPr>
        <w:sz w:val="37"/>
        <w:vertAlign w:val="subscript"/>
      </w:rPr>
      <w:t xml:space="preserve"> 	</w:t>
    </w:r>
    <w:r>
      <w:rPr>
        <w:sz w:val="24"/>
      </w:rPr>
      <w:t xml:space="preserve">PRODOC/COGEL/BKF</w:t>
    </w:r>
    <w:r>
      <w:rPr>
        <w:sz w:val="24"/>
      </w:rPr>
      <w:t xml:space="preserve"> </w:t>
    </w:r>
  </w:p>
  <w:p>
    <w:pPr>
      <w:spacing w:before="0" w:after="0" w:line="259" w:lineRule="auto"/>
      <w:ind w:left="0" w:firstLine="0"/>
      <w:jc w:val="left"/>
    </w:pPr>
    <w:r>
      <w:rPr>
        <w:sz w:val="2"/>
      </w:rPr>
      <w:t xml:space="preserve"> </w:t>
    </w:r>
  </w:p>
</w:hdr>
</file>

<file path=word/header15.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9766" w:firstLine="0"/>
      <w:jc w:val="center"/>
    </w:pPr>
    <w:r>
      <w:rPr>
        <w:sz w:val="40"/>
      </w:rPr>
      <w:t xml:space="preserve"> </w:t>
    </w:r>
  </w:p>
  <w:p>
    <w:pPr>
      <w:tabs>
        <w:tab w:val="center" w:pos="9074"/>
      </w:tabs>
      <w:spacing w:before="0" w:after="0" w:line="259" w:lineRule="auto"/>
      <w:ind w:left="0" w:firstLine="0"/>
      <w:jc w:val="left"/>
    </w:pPr>
    <w:r>
      <w:rPr>
        <w:sz w:val="37"/>
        <w:vertAlign w:val="subscript"/>
      </w:rPr>
      <w:t xml:space="preserve"> 	</w:t>
    </w:r>
    <w:r>
      <w:rPr>
        <w:sz w:val="24"/>
      </w:rPr>
      <w:t xml:space="preserve">PRODOC/COGEL/BKF</w:t>
    </w:r>
    <w:r>
      <w:rPr>
        <w:sz w:val="24"/>
      </w:rPr>
      <w:t xml:space="preserve"> </w:t>
    </w:r>
  </w:p>
  <w:p>
    <w:pPr>
      <w:spacing w:before="0" w:after="0" w:line="259" w:lineRule="auto"/>
      <w:ind w:left="0" w:firstLine="0"/>
      <w:jc w:val="left"/>
    </w:pPr>
    <w:r>
      <w:rPr>
        <w:sz w:val="2"/>
      </w:rPr>
      <w:t xml:space="preserve"> </w:t>
    </w:r>
  </w:p>
</w:hdr>
</file>

<file path=word/header16.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17.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18.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19.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04" w:line="259" w:lineRule="auto"/>
      <w:ind w:left="7079" w:firstLine="0"/>
      <w:jc w:val="center"/>
    </w:pPr>
    <w:r>
      <w:rPr>
        <w:sz w:val="40"/>
      </w:rPr>
      <w:t xml:space="preserve"> </w:t>
    </w:r>
  </w:p>
  <w:p>
    <w:pPr>
      <w:tabs>
        <w:tab w:val="center" w:pos="2255"/>
        <w:tab w:val="center" w:pos="9199"/>
      </w:tabs>
      <w:spacing w:before="0" w:after="0" w:line="259" w:lineRule="auto"/>
      <w:ind w:left="0"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hdr>
</file>

<file path=word/header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20.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04" w:line="259" w:lineRule="auto"/>
      <w:ind w:left="7079" w:firstLine="0"/>
      <w:jc w:val="center"/>
    </w:pPr>
    <w:r>
      <w:rPr>
        <w:sz w:val="40"/>
      </w:rPr>
      <w:t xml:space="preserve"> </w:t>
    </w:r>
  </w:p>
  <w:p>
    <w:pPr>
      <w:tabs>
        <w:tab w:val="center" w:pos="2255"/>
        <w:tab w:val="center" w:pos="9199"/>
      </w:tabs>
      <w:spacing w:before="0" w:after="0" w:line="259" w:lineRule="auto"/>
      <w:ind w:left="0"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hdr>
</file>

<file path=word/header2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04" w:line="259" w:lineRule="auto"/>
      <w:ind w:left="7079" w:firstLine="0"/>
      <w:jc w:val="center"/>
    </w:pPr>
    <w:r>
      <w:rPr>
        <w:sz w:val="40"/>
      </w:rPr>
      <w:t xml:space="preserve"> </w:t>
    </w:r>
  </w:p>
  <w:p>
    <w:pPr>
      <w:tabs>
        <w:tab w:val="center" w:pos="2255"/>
        <w:tab w:val="center" w:pos="9199"/>
      </w:tabs>
      <w:spacing w:before="0" w:after="0" w:line="259" w:lineRule="auto"/>
      <w:ind w:left="0"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hdr>
</file>

<file path=word/header2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03" w:line="259" w:lineRule="auto"/>
      <w:ind w:left="0" w:right="-600" w:firstLine="0"/>
      <w:jc w:val="right"/>
    </w:pPr>
    <w:r>
      <w:rPr>
        <w:sz w:val="40"/>
      </w:rPr>
      <w:t xml:space="preserve"> </w:t>
    </w:r>
  </w:p>
  <w:p>
    <w:pPr>
      <w:tabs>
        <w:tab w:val="center" w:pos="2255"/>
        <w:tab w:val="right" w:pos="10258"/>
      </w:tabs>
      <w:spacing w:before="0" w:after="0" w:line="259" w:lineRule="auto"/>
      <w:ind w:left="0" w:right="-499"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hdr>
</file>

<file path=word/header2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03" w:line="259" w:lineRule="auto"/>
      <w:ind w:left="0" w:right="-600" w:firstLine="0"/>
      <w:jc w:val="right"/>
    </w:pPr>
    <w:r>
      <w:rPr>
        <w:sz w:val="40"/>
      </w:rPr>
      <w:t xml:space="preserve"> </w:t>
    </w:r>
  </w:p>
  <w:p>
    <w:pPr>
      <w:tabs>
        <w:tab w:val="center" w:pos="2255"/>
        <w:tab w:val="right" w:pos="10258"/>
      </w:tabs>
      <w:spacing w:before="0" w:after="0" w:line="259" w:lineRule="auto"/>
      <w:ind w:left="0" w:right="-499"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hdr>
</file>

<file path=word/header24.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103" w:line="259" w:lineRule="auto"/>
      <w:ind w:left="0" w:right="-600" w:firstLine="0"/>
      <w:jc w:val="right"/>
    </w:pPr>
    <w:r>
      <w:rPr>
        <w:sz w:val="40"/>
      </w:rPr>
      <w:t xml:space="preserve"> </w:t>
    </w:r>
  </w:p>
  <w:p>
    <w:pPr>
      <w:tabs>
        <w:tab w:val="center" w:pos="2255"/>
        <w:tab w:val="right" w:pos="10258"/>
      </w:tabs>
      <w:spacing w:before="0" w:after="0" w:line="259" w:lineRule="auto"/>
      <w:ind w:left="0" w:right="-499" w:firstLine="0"/>
      <w:jc w:val="left"/>
    </w:pPr>
    <w:r>
      <w:rPr/>
      <w:t xml:space="preserve">Document provisoir</w:t>
    </w:r>
    <w:r>
      <w:rPr>
        <w:sz w:val="3"/>
        <w:vertAlign w:val="subscript"/>
      </w:rPr>
      <w:t xml:space="preserve"> 	</w:t>
    </w:r>
    <w:r>
      <w:rPr/>
      <w:t xml:space="preserve">e de travail </w:t>
    </w:r>
    <w:r>
      <w:rPr>
        <w:sz w:val="24"/>
      </w:rPr>
      <w:t xml:space="preserve"> 	</w:t>
    </w:r>
    <w:r>
      <w:rPr>
        <w:sz w:val="24"/>
      </w:rPr>
      <w:t xml:space="preserve">Prodoc</w:t>
    </w:r>
    <w:r>
      <w:rPr>
        <w:sz w:val="40"/>
      </w:rPr>
      <w:t xml:space="preserve">/</w:t>
    </w:r>
    <w:r>
      <w:rPr>
        <w:sz w:val="24"/>
      </w:rPr>
      <w:t xml:space="preserve">COGEL/BKF</w:t>
    </w:r>
    <w:r>
      <w:rPr>
        <w:sz w:val="24"/>
      </w:rPr>
      <w:t xml:space="preserve"> </w:t>
    </w:r>
  </w:p>
</w:hdr>
</file>

<file path=word/header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4.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5.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6.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7.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8.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header9.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hdr>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
      <w:pPr>
        <w:ind w:left="1760"/>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1">
    <w:multiLevelType w:val="hybridMultilevel"/>
    <w:lvl w:ilvl="0">
      <w:start w:val="1"/>
      <w:numFmt w:val="bullet"/>
      <w:lvlText w:val="-"/>
      <w:pPr>
        <w:ind w:left="1750"/>
      </w:pPr>
      <w:rPr>
        <w:rFonts w:cs="Calibri" w:hAnsi="Calibri" w:eastAsia="Calibri" w:ascii="Calibri"/>
        <w:b w:val="0"/>
        <w:i w:val="0"/>
        <w:strike w:val="0"/>
        <w:dstrike w:val="0"/>
        <w:color w:val="000000"/>
        <w:sz w:val="22"/>
        <w:szCs w:val="22"/>
        <w:u w:val="none" w:color="000000"/>
        <w:bdr w:val="none"/>
        <w:shd w:val="clear"/>
        <w:vertAlign w:val="baseline"/>
      </w:rPr>
    </w:lvl>
    <w:lvl w:ilvl="1">
      <w:start w:val="1"/>
      <w:numFmt w:val="bullet"/>
      <w:lvlText w:val="o"/>
      <w:pPr>
        <w:ind w:left="1440"/>
      </w:pPr>
      <w:rPr>
        <w:rFonts w:cs="Calibri" w:hAnsi="Calibri" w:eastAsia="Calibri" w:ascii="Calibri"/>
        <w:b w:val="0"/>
        <w:i w:val="0"/>
        <w:strike w:val="0"/>
        <w:dstrike w:val="0"/>
        <w:color w:val="000000"/>
        <w:sz w:val="22"/>
        <w:szCs w:val="22"/>
        <w:u w:val="none" w:color="000000"/>
        <w:bdr w:val="none"/>
        <w:shd w:val="clear"/>
        <w:vertAlign w:val="baseline"/>
      </w:rPr>
    </w:lvl>
    <w:lvl w:ilvl="2">
      <w:start w:val="1"/>
      <w:numFmt w:val="bullet"/>
      <w:lvlText w:val="▪"/>
      <w:pPr>
        <w:ind w:left="2160"/>
      </w:pPr>
      <w:rPr>
        <w:rFonts w:cs="Calibri" w:hAnsi="Calibri" w:eastAsia="Calibri" w:ascii="Calibri"/>
        <w:b w:val="0"/>
        <w:i w:val="0"/>
        <w:strike w:val="0"/>
        <w:dstrike w:val="0"/>
        <w:color w:val="000000"/>
        <w:sz w:val="22"/>
        <w:szCs w:val="22"/>
        <w:u w:val="none" w:color="000000"/>
        <w:bdr w:val="none"/>
        <w:shd w:val="clear"/>
        <w:vertAlign w:val="baseline"/>
      </w:rPr>
    </w:lvl>
    <w:lvl w:ilvl="3">
      <w:start w:val="1"/>
      <w:numFmt w:val="bullet"/>
      <w:lvlText w:val="•"/>
      <w:pPr>
        <w:ind w:left="2880"/>
      </w:pPr>
      <w:rPr>
        <w:rFonts w:cs="Calibri" w:hAnsi="Calibri" w:eastAsia="Calibri" w:ascii="Calibri"/>
        <w:b w:val="0"/>
        <w:i w:val="0"/>
        <w:strike w:val="0"/>
        <w:dstrike w:val="0"/>
        <w:color w:val="000000"/>
        <w:sz w:val="22"/>
        <w:szCs w:val="22"/>
        <w:u w:val="none" w:color="000000"/>
        <w:bdr w:val="none"/>
        <w:shd w:val="clear"/>
        <w:vertAlign w:val="baseline"/>
      </w:rPr>
    </w:lvl>
    <w:lvl w:ilvl="4">
      <w:start w:val="1"/>
      <w:numFmt w:val="bullet"/>
      <w:lvlText w:val="o"/>
      <w:pPr>
        <w:ind w:left="3600"/>
      </w:pPr>
      <w:rPr>
        <w:rFonts w:cs="Calibri" w:hAnsi="Calibri" w:eastAsia="Calibri" w:ascii="Calibri"/>
        <w:b w:val="0"/>
        <w:i w:val="0"/>
        <w:strike w:val="0"/>
        <w:dstrike w:val="0"/>
        <w:color w:val="000000"/>
        <w:sz w:val="22"/>
        <w:szCs w:val="22"/>
        <w:u w:val="none" w:color="000000"/>
        <w:bdr w:val="none"/>
        <w:shd w:val="clear"/>
        <w:vertAlign w:val="baseline"/>
      </w:rPr>
    </w:lvl>
    <w:lvl w:ilvl="5">
      <w:start w:val="1"/>
      <w:numFmt w:val="bullet"/>
      <w:lvlText w:val="▪"/>
      <w:pPr>
        <w:ind w:left="4320"/>
      </w:pPr>
      <w:rPr>
        <w:rFonts w:cs="Calibri" w:hAnsi="Calibri" w:eastAsia="Calibri" w:ascii="Calibri"/>
        <w:b w:val="0"/>
        <w:i w:val="0"/>
        <w:strike w:val="0"/>
        <w:dstrike w:val="0"/>
        <w:color w:val="000000"/>
        <w:sz w:val="22"/>
        <w:szCs w:val="22"/>
        <w:u w:val="none" w:color="000000"/>
        <w:bdr w:val="none"/>
        <w:shd w:val="clear"/>
        <w:vertAlign w:val="baseline"/>
      </w:rPr>
    </w:lvl>
    <w:lvl w:ilvl="6">
      <w:start w:val="1"/>
      <w:numFmt w:val="bullet"/>
      <w:lvlText w:val="•"/>
      <w:pPr>
        <w:ind w:left="5040"/>
      </w:pPr>
      <w:rPr>
        <w:rFonts w:cs="Calibri" w:hAnsi="Calibri" w:eastAsia="Calibri" w:ascii="Calibri"/>
        <w:b w:val="0"/>
        <w:i w:val="0"/>
        <w:strike w:val="0"/>
        <w:dstrike w:val="0"/>
        <w:color w:val="000000"/>
        <w:sz w:val="22"/>
        <w:szCs w:val="22"/>
        <w:u w:val="none" w:color="000000"/>
        <w:bdr w:val="none"/>
        <w:shd w:val="clear"/>
        <w:vertAlign w:val="baseline"/>
      </w:rPr>
    </w:lvl>
    <w:lvl w:ilvl="7">
      <w:start w:val="1"/>
      <w:numFmt w:val="bullet"/>
      <w:lvlText w:val="o"/>
      <w:pPr>
        <w:ind w:left="5760"/>
      </w:pPr>
      <w:rPr>
        <w:rFonts w:cs="Calibri" w:hAnsi="Calibri" w:eastAsia="Calibri" w:ascii="Calibri"/>
        <w:b w:val="0"/>
        <w:i w:val="0"/>
        <w:strike w:val="0"/>
        <w:dstrike w:val="0"/>
        <w:color w:val="000000"/>
        <w:sz w:val="22"/>
        <w:szCs w:val="22"/>
        <w:u w:val="none" w:color="000000"/>
        <w:bdr w:val="none"/>
        <w:shd w:val="clear"/>
        <w:vertAlign w:val="baseline"/>
      </w:rPr>
    </w:lvl>
    <w:lvl w:ilvl="8">
      <w:start w:val="1"/>
      <w:numFmt w:val="bullet"/>
      <w:lvlText w:val="▪"/>
      <w:pPr>
        <w:ind w:left="6480"/>
      </w:pPr>
      <w:rPr>
        <w:rFonts w:cs="Calibri" w:hAnsi="Calibri" w:eastAsia="Calibri" w:ascii="Calibri"/>
        <w:b w:val="0"/>
        <w:i w:val="0"/>
        <w:strike w:val="0"/>
        <w:dstrike w:val="0"/>
        <w:color w:val="000000"/>
        <w:sz w:val="22"/>
        <w:szCs w:val="22"/>
        <w:u w:val="none" w:color="000000"/>
        <w:bdr w:val="none"/>
        <w:shd w:val="clear"/>
        <w:vertAlign w:val="baseline"/>
      </w:rPr>
    </w:lvl>
  </w:abstractNum>
  <w:abstractNum w:abstractNumId="2">
    <w:multiLevelType w:val="hybridMultilevel"/>
    <w:lvl w:ilvl="0">
      <w:start w:val="7"/>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25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197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269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41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13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485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557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29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3">
    <w:multiLevelType w:val="hybridMultilevel"/>
    <w:lvl w:ilvl="0">
      <w:start w:val="11"/>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4">
    <w:multiLevelType w:val="hybridMultilevel"/>
    <w:lvl w:ilvl="0">
      <w:start w:val="13"/>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
      <w:pPr>
        <w:ind w:left="1750"/>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2">
      <w:start w:val="1"/>
      <w:numFmt w:val="bullet"/>
      <w:lvlText w:val="▪"/>
      <w:pPr>
        <w:ind w:left="214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3">
      <w:start w:val="1"/>
      <w:numFmt w:val="bullet"/>
      <w:lvlText w:val="•"/>
      <w:pPr>
        <w:ind w:left="286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4">
      <w:start w:val="1"/>
      <w:numFmt w:val="bullet"/>
      <w:lvlText w:val="o"/>
      <w:pPr>
        <w:ind w:left="358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5">
      <w:start w:val="1"/>
      <w:numFmt w:val="bullet"/>
      <w:lvlText w:val="▪"/>
      <w:pPr>
        <w:ind w:left="430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6">
      <w:start w:val="1"/>
      <w:numFmt w:val="bullet"/>
      <w:lvlText w:val="•"/>
      <w:pPr>
        <w:ind w:left="502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7">
      <w:start w:val="1"/>
      <w:numFmt w:val="bullet"/>
      <w:lvlText w:val="o"/>
      <w:pPr>
        <w:ind w:left="574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lvl w:ilvl="8">
      <w:start w:val="1"/>
      <w:numFmt w:val="bullet"/>
      <w:lvlText w:val="▪"/>
      <w:pPr>
        <w:ind w:left="6468"/>
      </w:pPr>
      <w:rPr>
        <w:rFonts w:cs="Times New Roman" w:hAnsi="Times New Roman" w:eastAsia="Times New Roman" w:ascii="Times New Roman"/>
        <w:b w:val="1"/>
        <w:bCs/>
        <w:i w:val="0"/>
        <w:strike w:val="0"/>
        <w:dstrike w:val="0"/>
        <w:color w:val="000000"/>
        <w:sz w:val="22"/>
        <w:szCs w:val="22"/>
        <w:u w:val="none" w:color="000000"/>
        <w:bdr w:val="none"/>
        <w:shd w:val="clear"/>
        <w:vertAlign w:val="baseline"/>
      </w:rPr>
    </w:lvl>
  </w:abstractNum>
  <w:abstractNum w:abstractNumId="5">
    <w:multiLevelType w:val="hybridMultilevel"/>
    <w:lvl w:ilvl="0">
      <w:start w:val="19"/>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6">
    <w:multiLevelType w:val="hybridMultilevel"/>
    <w:lvl w:ilvl="0">
      <w:start w:val="1"/>
      <w:numFmt w:val="bullet"/>
      <w:lvlText w:val="-"/>
      <w:pPr>
        <w:ind w:left="1738"/>
      </w:pPr>
      <w:rPr>
        <w:rFonts w:cs="Calibri" w:hAnsi="Calibri" w:eastAsia="Calibri" w:ascii="Calibri"/>
        <w:b w:val="0"/>
        <w:i w:val="0"/>
        <w:strike w:val="0"/>
        <w:dstrike w:val="0"/>
        <w:color w:val="000000"/>
        <w:sz w:val="22"/>
        <w:szCs w:val="22"/>
        <w:u w:val="none" w:color="000000"/>
        <w:bdr w:val="none"/>
        <w:shd w:val="clear"/>
        <w:vertAlign w:val="baseline"/>
      </w:rPr>
    </w:lvl>
    <w:lvl w:ilvl="1">
      <w:start w:val="1"/>
      <w:numFmt w:val="bullet"/>
      <w:lvlText w:val="o"/>
      <w:pPr>
        <w:ind w:left="2213"/>
      </w:pPr>
      <w:rPr>
        <w:rFonts w:cs="Calibri" w:hAnsi="Calibri" w:eastAsia="Calibri" w:ascii="Calibri"/>
        <w:b w:val="0"/>
        <w:i w:val="0"/>
        <w:strike w:val="0"/>
        <w:dstrike w:val="0"/>
        <w:color w:val="000000"/>
        <w:sz w:val="22"/>
        <w:szCs w:val="22"/>
        <w:u w:val="none" w:color="000000"/>
        <w:bdr w:val="none"/>
        <w:shd w:val="clear"/>
        <w:vertAlign w:val="baseline"/>
      </w:rPr>
    </w:lvl>
    <w:lvl w:ilvl="2">
      <w:start w:val="1"/>
      <w:numFmt w:val="bullet"/>
      <w:lvlText w:val="▪"/>
      <w:pPr>
        <w:ind w:left="2933"/>
      </w:pPr>
      <w:rPr>
        <w:rFonts w:cs="Calibri" w:hAnsi="Calibri" w:eastAsia="Calibri" w:ascii="Calibri"/>
        <w:b w:val="0"/>
        <w:i w:val="0"/>
        <w:strike w:val="0"/>
        <w:dstrike w:val="0"/>
        <w:color w:val="000000"/>
        <w:sz w:val="22"/>
        <w:szCs w:val="22"/>
        <w:u w:val="none" w:color="000000"/>
        <w:bdr w:val="none"/>
        <w:shd w:val="clear"/>
        <w:vertAlign w:val="baseline"/>
      </w:rPr>
    </w:lvl>
    <w:lvl w:ilvl="3">
      <w:start w:val="1"/>
      <w:numFmt w:val="bullet"/>
      <w:lvlText w:val="•"/>
      <w:pPr>
        <w:ind w:left="3653"/>
      </w:pPr>
      <w:rPr>
        <w:rFonts w:cs="Calibri" w:hAnsi="Calibri" w:eastAsia="Calibri" w:ascii="Calibri"/>
        <w:b w:val="0"/>
        <w:i w:val="0"/>
        <w:strike w:val="0"/>
        <w:dstrike w:val="0"/>
        <w:color w:val="000000"/>
        <w:sz w:val="22"/>
        <w:szCs w:val="22"/>
        <w:u w:val="none" w:color="000000"/>
        <w:bdr w:val="none"/>
        <w:shd w:val="clear"/>
        <w:vertAlign w:val="baseline"/>
      </w:rPr>
    </w:lvl>
    <w:lvl w:ilvl="4">
      <w:start w:val="1"/>
      <w:numFmt w:val="bullet"/>
      <w:lvlText w:val="o"/>
      <w:pPr>
        <w:ind w:left="4373"/>
      </w:pPr>
      <w:rPr>
        <w:rFonts w:cs="Calibri" w:hAnsi="Calibri" w:eastAsia="Calibri" w:ascii="Calibri"/>
        <w:b w:val="0"/>
        <w:i w:val="0"/>
        <w:strike w:val="0"/>
        <w:dstrike w:val="0"/>
        <w:color w:val="000000"/>
        <w:sz w:val="22"/>
        <w:szCs w:val="22"/>
        <w:u w:val="none" w:color="000000"/>
        <w:bdr w:val="none"/>
        <w:shd w:val="clear"/>
        <w:vertAlign w:val="baseline"/>
      </w:rPr>
    </w:lvl>
    <w:lvl w:ilvl="5">
      <w:start w:val="1"/>
      <w:numFmt w:val="bullet"/>
      <w:lvlText w:val="▪"/>
      <w:pPr>
        <w:ind w:left="5093"/>
      </w:pPr>
      <w:rPr>
        <w:rFonts w:cs="Calibri" w:hAnsi="Calibri" w:eastAsia="Calibri" w:ascii="Calibri"/>
        <w:b w:val="0"/>
        <w:i w:val="0"/>
        <w:strike w:val="0"/>
        <w:dstrike w:val="0"/>
        <w:color w:val="000000"/>
        <w:sz w:val="22"/>
        <w:szCs w:val="22"/>
        <w:u w:val="none" w:color="000000"/>
        <w:bdr w:val="none"/>
        <w:shd w:val="clear"/>
        <w:vertAlign w:val="baseline"/>
      </w:rPr>
    </w:lvl>
    <w:lvl w:ilvl="6">
      <w:start w:val="1"/>
      <w:numFmt w:val="bullet"/>
      <w:lvlText w:val="•"/>
      <w:pPr>
        <w:ind w:left="5813"/>
      </w:pPr>
      <w:rPr>
        <w:rFonts w:cs="Calibri" w:hAnsi="Calibri" w:eastAsia="Calibri" w:ascii="Calibri"/>
        <w:b w:val="0"/>
        <w:i w:val="0"/>
        <w:strike w:val="0"/>
        <w:dstrike w:val="0"/>
        <w:color w:val="000000"/>
        <w:sz w:val="22"/>
        <w:szCs w:val="22"/>
        <w:u w:val="none" w:color="000000"/>
        <w:bdr w:val="none"/>
        <w:shd w:val="clear"/>
        <w:vertAlign w:val="baseline"/>
      </w:rPr>
    </w:lvl>
    <w:lvl w:ilvl="7">
      <w:start w:val="1"/>
      <w:numFmt w:val="bullet"/>
      <w:lvlText w:val="o"/>
      <w:pPr>
        <w:ind w:left="6533"/>
      </w:pPr>
      <w:rPr>
        <w:rFonts w:cs="Calibri" w:hAnsi="Calibri" w:eastAsia="Calibri" w:ascii="Calibri"/>
        <w:b w:val="0"/>
        <w:i w:val="0"/>
        <w:strike w:val="0"/>
        <w:dstrike w:val="0"/>
        <w:color w:val="000000"/>
        <w:sz w:val="22"/>
        <w:szCs w:val="22"/>
        <w:u w:val="none" w:color="000000"/>
        <w:bdr w:val="none"/>
        <w:shd w:val="clear"/>
        <w:vertAlign w:val="baseline"/>
      </w:rPr>
    </w:lvl>
    <w:lvl w:ilvl="8">
      <w:start w:val="1"/>
      <w:numFmt w:val="bullet"/>
      <w:lvlText w:val="▪"/>
      <w:pPr>
        <w:ind w:left="7253"/>
      </w:pPr>
      <w:rPr>
        <w:rFonts w:cs="Calibri" w:hAnsi="Calibri" w:eastAsia="Calibri" w:ascii="Calibri"/>
        <w:b w:val="0"/>
        <w:i w:val="0"/>
        <w:strike w:val="0"/>
        <w:dstrike w:val="0"/>
        <w:color w:val="000000"/>
        <w:sz w:val="22"/>
        <w:szCs w:val="22"/>
        <w:u w:val="none" w:color="000000"/>
        <w:bdr w:val="none"/>
        <w:shd w:val="clear"/>
        <w:vertAlign w:val="baseline"/>
      </w:rPr>
    </w:lvl>
  </w:abstractNum>
  <w:abstractNum w:abstractNumId="7">
    <w:multiLevelType w:val="hybridMultilevel"/>
    <w:lvl w:ilvl="0">
      <w:start w:val="1"/>
      <w:numFmt w:val="bullet"/>
      <w:lvlText w:val="-"/>
      <w:pPr>
        <w:ind w:left="17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o"/>
      <w:pPr>
        <w:ind w:left="21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bullet"/>
      <w:lvlText w:val="▪"/>
      <w:pPr>
        <w:ind w:left="28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bullet"/>
      <w:lvlText w:val="•"/>
      <w:pPr>
        <w:ind w:left="36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bullet"/>
      <w:lvlText w:val="o"/>
      <w:pPr>
        <w:ind w:left="43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bullet"/>
      <w:lvlText w:val="▪"/>
      <w:pPr>
        <w:ind w:left="50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bullet"/>
      <w:lvlText w:val="•"/>
      <w:pPr>
        <w:ind w:left="57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bullet"/>
      <w:lvlText w:val="o"/>
      <w:pPr>
        <w:ind w:left="64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bullet"/>
      <w:lvlText w:val="▪"/>
      <w:pPr>
        <w:ind w:left="72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8">
    <w:multiLevelType w:val="hybridMultilevel"/>
    <w:lvl w:ilvl="0">
      <w:start w:val="1"/>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9">
    <w:multiLevelType w:val="hybridMultilevel"/>
    <w:lvl w:ilvl="0">
      <w:start w:val="5"/>
      <w:numFmt w:val="decimal"/>
      <w:lvlText w:val="%1."/>
      <w:pPr>
        <w:ind w:left="139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0">
    <w:multiLevelType w:val="hybridMultilevel"/>
    <w:lvl w:ilvl="0">
      <w:start w:val="1"/>
      <w:numFmt w:val="bullet"/>
      <w:lvlText w:val="-"/>
      <w:pPr>
        <w:ind w:left="17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bullet"/>
      <w:lvlText w:val="o"/>
      <w:pPr>
        <w:ind w:left="2480"/>
      </w:pPr>
      <w:rPr>
        <w:rFonts w:cs="Courier New" w:hAnsi="Courier New" w:eastAsia="Courier New" w:ascii="Courier New"/>
        <w:b w:val="0"/>
        <w:i w:val="0"/>
        <w:strike w:val="0"/>
        <w:dstrike w:val="0"/>
        <w:color w:val="000000"/>
        <w:sz w:val="22"/>
        <w:szCs w:val="22"/>
        <w:u w:val="none" w:color="000000"/>
        <w:bdr w:val="none"/>
        <w:shd w:val="clear"/>
        <w:vertAlign w:val="baseline"/>
      </w:rPr>
    </w:lvl>
    <w:lvl w:ilvl="2">
      <w:start w:val="1"/>
      <w:numFmt w:val="bullet"/>
      <w:lvlText w:val="▪"/>
      <w:pPr>
        <w:ind w:left="2880"/>
      </w:pPr>
      <w:rPr>
        <w:rFonts w:cs="Courier New" w:hAnsi="Courier New" w:eastAsia="Courier New" w:ascii="Courier New"/>
        <w:b w:val="0"/>
        <w:i w:val="0"/>
        <w:strike w:val="0"/>
        <w:dstrike w:val="0"/>
        <w:color w:val="000000"/>
        <w:sz w:val="22"/>
        <w:szCs w:val="22"/>
        <w:u w:val="none" w:color="000000"/>
        <w:bdr w:val="none"/>
        <w:shd w:val="clear"/>
        <w:vertAlign w:val="baseline"/>
      </w:rPr>
    </w:lvl>
    <w:lvl w:ilvl="3">
      <w:start w:val="1"/>
      <w:numFmt w:val="bullet"/>
      <w:lvlText w:val="•"/>
      <w:pPr>
        <w:ind w:left="3600"/>
      </w:pPr>
      <w:rPr>
        <w:rFonts w:cs="Courier New" w:hAnsi="Courier New" w:eastAsia="Courier New" w:ascii="Courier New"/>
        <w:b w:val="0"/>
        <w:i w:val="0"/>
        <w:strike w:val="0"/>
        <w:dstrike w:val="0"/>
        <w:color w:val="000000"/>
        <w:sz w:val="22"/>
        <w:szCs w:val="22"/>
        <w:u w:val="none" w:color="000000"/>
        <w:bdr w:val="none"/>
        <w:shd w:val="clear"/>
        <w:vertAlign w:val="baseline"/>
      </w:rPr>
    </w:lvl>
    <w:lvl w:ilvl="4">
      <w:start w:val="1"/>
      <w:numFmt w:val="bullet"/>
      <w:lvlText w:val="o"/>
      <w:pPr>
        <w:ind w:left="4320"/>
      </w:pPr>
      <w:rPr>
        <w:rFonts w:cs="Courier New" w:hAnsi="Courier New" w:eastAsia="Courier New" w:ascii="Courier New"/>
        <w:b w:val="0"/>
        <w:i w:val="0"/>
        <w:strike w:val="0"/>
        <w:dstrike w:val="0"/>
        <w:color w:val="000000"/>
        <w:sz w:val="22"/>
        <w:szCs w:val="22"/>
        <w:u w:val="none" w:color="000000"/>
        <w:bdr w:val="none"/>
        <w:shd w:val="clear"/>
        <w:vertAlign w:val="baseline"/>
      </w:rPr>
    </w:lvl>
    <w:lvl w:ilvl="5">
      <w:start w:val="1"/>
      <w:numFmt w:val="bullet"/>
      <w:lvlText w:val="▪"/>
      <w:pPr>
        <w:ind w:left="5040"/>
      </w:pPr>
      <w:rPr>
        <w:rFonts w:cs="Courier New" w:hAnsi="Courier New" w:eastAsia="Courier New" w:ascii="Courier New"/>
        <w:b w:val="0"/>
        <w:i w:val="0"/>
        <w:strike w:val="0"/>
        <w:dstrike w:val="0"/>
        <w:color w:val="000000"/>
        <w:sz w:val="22"/>
        <w:szCs w:val="22"/>
        <w:u w:val="none" w:color="000000"/>
        <w:bdr w:val="none"/>
        <w:shd w:val="clear"/>
        <w:vertAlign w:val="baseline"/>
      </w:rPr>
    </w:lvl>
    <w:lvl w:ilvl="6">
      <w:start w:val="1"/>
      <w:numFmt w:val="bullet"/>
      <w:lvlText w:val="•"/>
      <w:pPr>
        <w:ind w:left="5760"/>
      </w:pPr>
      <w:rPr>
        <w:rFonts w:cs="Courier New" w:hAnsi="Courier New" w:eastAsia="Courier New" w:ascii="Courier New"/>
        <w:b w:val="0"/>
        <w:i w:val="0"/>
        <w:strike w:val="0"/>
        <w:dstrike w:val="0"/>
        <w:color w:val="000000"/>
        <w:sz w:val="22"/>
        <w:szCs w:val="22"/>
        <w:u w:val="none" w:color="000000"/>
        <w:bdr w:val="none"/>
        <w:shd w:val="clear"/>
        <w:vertAlign w:val="baseline"/>
      </w:rPr>
    </w:lvl>
    <w:lvl w:ilvl="7">
      <w:start w:val="1"/>
      <w:numFmt w:val="bullet"/>
      <w:lvlText w:val="o"/>
      <w:pPr>
        <w:ind w:left="6480"/>
      </w:pPr>
      <w:rPr>
        <w:rFonts w:cs="Courier New" w:hAnsi="Courier New" w:eastAsia="Courier New" w:ascii="Courier New"/>
        <w:b w:val="0"/>
        <w:i w:val="0"/>
        <w:strike w:val="0"/>
        <w:dstrike w:val="0"/>
        <w:color w:val="000000"/>
        <w:sz w:val="22"/>
        <w:szCs w:val="22"/>
        <w:u w:val="none" w:color="000000"/>
        <w:bdr w:val="none"/>
        <w:shd w:val="clear"/>
        <w:vertAlign w:val="baseline"/>
      </w:rPr>
    </w:lvl>
    <w:lvl w:ilvl="8">
      <w:start w:val="1"/>
      <w:numFmt w:val="bullet"/>
      <w:lvlText w:val="▪"/>
      <w:pPr>
        <w:ind w:left="7200"/>
      </w:pPr>
      <w:rPr>
        <w:rFonts w:cs="Courier New" w:hAnsi="Courier New" w:eastAsia="Courier New" w:ascii="Courier New"/>
        <w:b w:val="0"/>
        <w:i w:val="0"/>
        <w:strike w:val="0"/>
        <w:dstrike w:val="0"/>
        <w:color w:val="000000"/>
        <w:sz w:val="22"/>
        <w:szCs w:val="22"/>
        <w:u w:val="none" w:color="000000"/>
        <w:bdr w:val="none"/>
        <w:shd w:val="clear"/>
        <w:vertAlign w:val="baseline"/>
      </w:rPr>
    </w:lvl>
  </w:abstractNum>
  <w:abstractNum w:abstractNumId="11">
    <w:multiLevelType w:val="hybridMultilevel"/>
    <w:lvl w:ilvl="0">
      <w:start w:val="1"/>
      <w:numFmt w:val="bullet"/>
      <w:lvlText w:val="•"/>
      <w:pPr>
        <w:ind w:left="1056"/>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12">
    <w:multiLevelType w:val="hybridMultilevel"/>
    <w:lvl w:ilvl="0">
      <w:start w:val="1"/>
      <w:numFmt w:val="bullet"/>
      <w:lvlText w:val="-"/>
      <w:pPr>
        <w:ind w:left="105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bullet"/>
      <w:lvlText w:val="o"/>
      <w:pPr>
        <w:ind w:left="143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bullet"/>
      <w:lvlText w:val="▪"/>
      <w:pPr>
        <w:ind w:left="215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bullet"/>
      <w:lvlText w:val="•"/>
      <w:pPr>
        <w:ind w:left="287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bullet"/>
      <w:lvlText w:val="o"/>
      <w:pPr>
        <w:ind w:left="359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bullet"/>
      <w:lvlText w:val="▪"/>
      <w:pPr>
        <w:ind w:left="431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bullet"/>
      <w:lvlText w:val="•"/>
      <w:pPr>
        <w:ind w:left="503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bullet"/>
      <w:lvlText w:val="o"/>
      <w:pPr>
        <w:ind w:left="575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bullet"/>
      <w:lvlText w:val="▪"/>
      <w:pPr>
        <w:ind w:left="6478"/>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bullet"/>
      <w:lvlText w:val="-"/>
      <w:pPr>
        <w:ind w:left="7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bullet"/>
      <w:lvlText w:val="o"/>
      <w:pPr>
        <w:ind w:left="14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bullet"/>
      <w:lvlText w:val="▪"/>
      <w:pPr>
        <w:ind w:left="21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bullet"/>
      <w:lvlText w:val="•"/>
      <w:pPr>
        <w:ind w:left="28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bullet"/>
      <w:lvlText w:val="o"/>
      <w:pPr>
        <w:ind w:left="36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bullet"/>
      <w:lvlText w:val="▪"/>
      <w:pPr>
        <w:ind w:left="43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bullet"/>
      <w:lvlText w:val="•"/>
      <w:pPr>
        <w:ind w:left="50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bullet"/>
      <w:lvlText w:val="o"/>
      <w:pPr>
        <w:ind w:left="57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bullet"/>
      <w:lvlText w:val="▪"/>
      <w:pPr>
        <w:ind w:left="64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5">
    <w:multiLevelType w:val="hybridMultilevel"/>
    <w:lvl w:ilvl="0">
      <w:start w:val="4"/>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31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03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275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47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19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491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563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35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6">
    <w:multiLevelType w:val="hybridMultilevel"/>
    <w:lvl w:ilvl="0">
      <w:start w:val="11"/>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
      <w:pPr>
        <w:ind w:left="1428"/>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2148"/>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868"/>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588"/>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308"/>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5028"/>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748"/>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468"/>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17">
    <w:multiLevelType w:val="hybridMultilevel"/>
    <w:lvl w:ilvl="0">
      <w:start w:val="14"/>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8">
    <w:multiLevelType w:val="hybridMultilevel"/>
    <w:lvl w:ilvl="0">
      <w:start w:val="19"/>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lowerLetter"/>
      <w:lvlText w:val="%2"/>
      <w:pPr>
        <w:ind w:left="17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5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32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95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67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39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611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83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9">
    <w:multiLevelType w:val="hybridMultilevel"/>
    <w:lvl w:ilvl="0">
      <w:start w:val="21"/>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2"/>
      <w:numFmt w:val="lowerLetter"/>
      <w:lvlText w:val="%2."/>
      <w:pPr>
        <w:ind w:left="14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21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28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36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43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50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57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64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20">
    <w:multiLevelType w:val="hybridMultilevel"/>
    <w:lvl w:ilvl="0">
      <w:start w:val="28"/>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
      <w:pPr>
        <w:ind w:left="177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bullet"/>
      <w:lvlText w:val="▪"/>
      <w:pPr>
        <w:ind w:left="249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bullet"/>
      <w:lvlText w:val="•"/>
      <w:pPr>
        <w:ind w:left="321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bullet"/>
      <w:lvlText w:val="o"/>
      <w:pPr>
        <w:ind w:left="393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bullet"/>
      <w:lvlText w:val="▪"/>
      <w:pPr>
        <w:ind w:left="465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bullet"/>
      <w:lvlText w:val="•"/>
      <w:pPr>
        <w:ind w:left="537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bullet"/>
      <w:lvlText w:val="o"/>
      <w:pPr>
        <w:ind w:left="609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bullet"/>
      <w:lvlText w:val="▪"/>
      <w:pPr>
        <w:ind w:left="6816"/>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bullet"/>
      <w:lvlText w:val="-"/>
      <w:pPr>
        <w:ind w:left="7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bullet"/>
      <w:lvlText w:val="o"/>
      <w:pPr>
        <w:ind w:left="14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bullet"/>
      <w:lvlText w:val="▪"/>
      <w:pPr>
        <w:ind w:left="21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bullet"/>
      <w:lvlText w:val="•"/>
      <w:pPr>
        <w:ind w:left="28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bullet"/>
      <w:lvlText w:val="o"/>
      <w:pPr>
        <w:ind w:left="36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bullet"/>
      <w:lvlText w:val="▪"/>
      <w:pPr>
        <w:ind w:left="43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bullet"/>
      <w:lvlText w:val="•"/>
      <w:pPr>
        <w:ind w:left="50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bullet"/>
      <w:lvlText w:val="o"/>
      <w:pPr>
        <w:ind w:left="57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bullet"/>
      <w:lvlText w:val="▪"/>
      <w:pPr>
        <w:ind w:left="64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22">
    <w:multiLevelType w:val="hybridMultilevel"/>
    <w:lvl w:ilvl="0">
      <w:start w:val="30"/>
      <w:numFmt w:val="decimal"/>
      <w:lvlText w:val="%1."/>
      <w:pPr>
        <w:ind w:left="1265"/>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
      <w:pPr>
        <w:ind w:left="1419"/>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bullet"/>
      <w:lvlText w:val="▪"/>
      <w:pPr>
        <w:ind w:left="221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bullet"/>
      <w:lvlText w:val="•"/>
      <w:pPr>
        <w:ind w:left="293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bullet"/>
      <w:lvlText w:val="o"/>
      <w:pPr>
        <w:ind w:left="365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bullet"/>
      <w:lvlText w:val="▪"/>
      <w:pPr>
        <w:ind w:left="437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bullet"/>
      <w:lvlText w:val="•"/>
      <w:pPr>
        <w:ind w:left="509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bullet"/>
      <w:lvlText w:val="o"/>
      <w:pPr>
        <w:ind w:left="581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bullet"/>
      <w:lvlText w:val="▪"/>
      <w:pPr>
        <w:ind w:left="6533"/>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23">
    <w:multiLevelType w:val="hybridMultilevel"/>
    <w:lvl w:ilvl="0">
      <w:start w:val="1"/>
      <w:numFmt w:val="bullet"/>
      <w:lvlText w:val="•"/>
      <w:pPr>
        <w:ind w:left="3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bullet"/>
      <w:lvlText w:val="o"/>
      <w:pPr>
        <w:ind w:left="1173"/>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bullet"/>
      <w:lvlRestart w:val="0"/>
      <w:lvlText w:val="-"/>
      <w:pPr>
        <w:ind w:left="198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bullet"/>
      <w:lvlText w:val="•"/>
      <w:pPr>
        <w:ind w:left="270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bullet"/>
      <w:lvlText w:val="o"/>
      <w:pPr>
        <w:ind w:left="342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bullet"/>
      <w:lvlText w:val="▪"/>
      <w:pPr>
        <w:ind w:left="414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bullet"/>
      <w:lvlText w:val="•"/>
      <w:pPr>
        <w:ind w:left="486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bullet"/>
      <w:lvlText w:val="o"/>
      <w:pPr>
        <w:ind w:left="558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bullet"/>
      <w:lvlText w:val="▪"/>
      <w:pPr>
        <w:ind w:left="6305"/>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24">
    <w:multiLevelType w:val="hybridMultilevel"/>
    <w:lvl w:ilvl="0">
      <w:start w:val="1"/>
      <w:numFmt w:val="bullet"/>
      <w:lvlText w:val="o"/>
      <w:pPr>
        <w:ind w:left="1056"/>
      </w:pPr>
      <w:rPr>
        <w:rFonts w:cs="Courier New" w:hAnsi="Courier New" w:eastAsia="Courier New" w:ascii="Courier New"/>
        <w:b w:val="0"/>
        <w:i w:val="0"/>
        <w:strike w:val="0"/>
        <w:dstrike w:val="0"/>
        <w:color w:val="000000"/>
        <w:sz w:val="22"/>
        <w:szCs w:val="22"/>
        <w:u w:val="none" w:color="000000"/>
        <w:bdr w:val="none"/>
        <w:shd w:val="clear"/>
        <w:vertAlign w:val="baseline"/>
      </w:rPr>
    </w:lvl>
    <w:lvl w:ilvl="1">
      <w:start w:val="1"/>
      <w:numFmt w:val="bullet"/>
      <w:lvlText w:val="o"/>
      <w:pPr>
        <w:ind w:left="2073"/>
      </w:pPr>
      <w:rPr>
        <w:rFonts w:cs="Courier New" w:hAnsi="Courier New" w:eastAsia="Courier New" w:ascii="Courier New"/>
        <w:b w:val="0"/>
        <w:i w:val="0"/>
        <w:strike w:val="0"/>
        <w:dstrike w:val="0"/>
        <w:color w:val="000000"/>
        <w:sz w:val="22"/>
        <w:szCs w:val="22"/>
        <w:u w:val="none" w:color="000000"/>
        <w:bdr w:val="none"/>
        <w:shd w:val="clear"/>
        <w:vertAlign w:val="baseline"/>
      </w:rPr>
    </w:lvl>
    <w:lvl w:ilvl="2">
      <w:start w:val="1"/>
      <w:numFmt w:val="bullet"/>
      <w:lvlText w:val="▪"/>
      <w:pPr>
        <w:ind w:left="2793"/>
      </w:pPr>
      <w:rPr>
        <w:rFonts w:cs="Courier New" w:hAnsi="Courier New" w:eastAsia="Courier New" w:ascii="Courier New"/>
        <w:b w:val="0"/>
        <w:i w:val="0"/>
        <w:strike w:val="0"/>
        <w:dstrike w:val="0"/>
        <w:color w:val="000000"/>
        <w:sz w:val="22"/>
        <w:szCs w:val="22"/>
        <w:u w:val="none" w:color="000000"/>
        <w:bdr w:val="none"/>
        <w:shd w:val="clear"/>
        <w:vertAlign w:val="baseline"/>
      </w:rPr>
    </w:lvl>
    <w:lvl w:ilvl="3">
      <w:start w:val="1"/>
      <w:numFmt w:val="bullet"/>
      <w:lvlText w:val="•"/>
      <w:pPr>
        <w:ind w:left="3513"/>
      </w:pPr>
      <w:rPr>
        <w:rFonts w:cs="Courier New" w:hAnsi="Courier New" w:eastAsia="Courier New" w:ascii="Courier New"/>
        <w:b w:val="0"/>
        <w:i w:val="0"/>
        <w:strike w:val="0"/>
        <w:dstrike w:val="0"/>
        <w:color w:val="000000"/>
        <w:sz w:val="22"/>
        <w:szCs w:val="22"/>
        <w:u w:val="none" w:color="000000"/>
        <w:bdr w:val="none"/>
        <w:shd w:val="clear"/>
        <w:vertAlign w:val="baseline"/>
      </w:rPr>
    </w:lvl>
    <w:lvl w:ilvl="4">
      <w:start w:val="1"/>
      <w:numFmt w:val="bullet"/>
      <w:lvlText w:val="o"/>
      <w:pPr>
        <w:ind w:left="4233"/>
      </w:pPr>
      <w:rPr>
        <w:rFonts w:cs="Courier New" w:hAnsi="Courier New" w:eastAsia="Courier New" w:ascii="Courier New"/>
        <w:b w:val="0"/>
        <w:i w:val="0"/>
        <w:strike w:val="0"/>
        <w:dstrike w:val="0"/>
        <w:color w:val="000000"/>
        <w:sz w:val="22"/>
        <w:szCs w:val="22"/>
        <w:u w:val="none" w:color="000000"/>
        <w:bdr w:val="none"/>
        <w:shd w:val="clear"/>
        <w:vertAlign w:val="baseline"/>
      </w:rPr>
    </w:lvl>
    <w:lvl w:ilvl="5">
      <w:start w:val="1"/>
      <w:numFmt w:val="bullet"/>
      <w:lvlText w:val="▪"/>
      <w:pPr>
        <w:ind w:left="4953"/>
      </w:pPr>
      <w:rPr>
        <w:rFonts w:cs="Courier New" w:hAnsi="Courier New" w:eastAsia="Courier New" w:ascii="Courier New"/>
        <w:b w:val="0"/>
        <w:i w:val="0"/>
        <w:strike w:val="0"/>
        <w:dstrike w:val="0"/>
        <w:color w:val="000000"/>
        <w:sz w:val="22"/>
        <w:szCs w:val="22"/>
        <w:u w:val="none" w:color="000000"/>
        <w:bdr w:val="none"/>
        <w:shd w:val="clear"/>
        <w:vertAlign w:val="baseline"/>
      </w:rPr>
    </w:lvl>
    <w:lvl w:ilvl="6">
      <w:start w:val="1"/>
      <w:numFmt w:val="bullet"/>
      <w:lvlText w:val="•"/>
      <w:pPr>
        <w:ind w:left="5673"/>
      </w:pPr>
      <w:rPr>
        <w:rFonts w:cs="Courier New" w:hAnsi="Courier New" w:eastAsia="Courier New" w:ascii="Courier New"/>
        <w:b w:val="0"/>
        <w:i w:val="0"/>
        <w:strike w:val="0"/>
        <w:dstrike w:val="0"/>
        <w:color w:val="000000"/>
        <w:sz w:val="22"/>
        <w:szCs w:val="22"/>
        <w:u w:val="none" w:color="000000"/>
        <w:bdr w:val="none"/>
        <w:shd w:val="clear"/>
        <w:vertAlign w:val="baseline"/>
      </w:rPr>
    </w:lvl>
    <w:lvl w:ilvl="7">
      <w:start w:val="1"/>
      <w:numFmt w:val="bullet"/>
      <w:lvlText w:val="o"/>
      <w:pPr>
        <w:ind w:left="6393"/>
      </w:pPr>
      <w:rPr>
        <w:rFonts w:cs="Courier New" w:hAnsi="Courier New" w:eastAsia="Courier New" w:ascii="Courier New"/>
        <w:b w:val="0"/>
        <w:i w:val="0"/>
        <w:strike w:val="0"/>
        <w:dstrike w:val="0"/>
        <w:color w:val="000000"/>
        <w:sz w:val="22"/>
        <w:szCs w:val="22"/>
        <w:u w:val="none" w:color="000000"/>
        <w:bdr w:val="none"/>
        <w:shd w:val="clear"/>
        <w:vertAlign w:val="baseline"/>
      </w:rPr>
    </w:lvl>
    <w:lvl w:ilvl="8">
      <w:start w:val="1"/>
      <w:numFmt w:val="bullet"/>
      <w:lvlText w:val="▪"/>
      <w:pPr>
        <w:ind w:left="7113"/>
      </w:pPr>
      <w:rPr>
        <w:rFonts w:cs="Courier New" w:hAnsi="Courier New" w:eastAsia="Courier New" w:ascii="Courier New"/>
        <w:b w:val="0"/>
        <w:i w:val="0"/>
        <w:strike w:val="0"/>
        <w:dstrike w:val="0"/>
        <w:color w:val="000000"/>
        <w:sz w:val="22"/>
        <w:szCs w:val="22"/>
        <w:u w:val="none" w:color="000000"/>
        <w:bdr w:val="none"/>
        <w:shd w:val="clear"/>
        <w:vertAlign w:val="baseline"/>
      </w:rPr>
    </w:lvl>
  </w:abstractNum>
  <w:abstractNum w:abstractNumId="25">
    <w:multiLevelType w:val="hybridMultilevel"/>
    <w:lvl w:ilvl="0">
      <w:start w:val="35"/>
      <w:numFmt w:val="decimal"/>
      <w:lvlText w:val="%1."/>
      <w:pPr>
        <w:ind w:left="1056"/>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
      <w:numFmt w:val="bullet"/>
      <w:lvlText w:val="•"/>
      <w:pPr>
        <w:ind w:left="1277"/>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2074"/>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3">
      <w:start w:val="1"/>
      <w:numFmt w:val="bullet"/>
      <w:lvlText w:val="•"/>
      <w:pPr>
        <w:ind w:left="2794"/>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514"/>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5">
      <w:start w:val="1"/>
      <w:numFmt w:val="bullet"/>
      <w:lvlText w:val="▪"/>
      <w:pPr>
        <w:ind w:left="4234"/>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6">
      <w:start w:val="1"/>
      <w:numFmt w:val="bullet"/>
      <w:lvlText w:val="•"/>
      <w:pPr>
        <w:ind w:left="4954"/>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674"/>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lvl w:ilvl="8">
      <w:start w:val="1"/>
      <w:numFmt w:val="bullet"/>
      <w:lvlText w:val="▪"/>
      <w:pPr>
        <w:ind w:left="6394"/>
      </w:pPr>
      <w:rPr>
        <w:rFonts w:cs="Segoe UI Symbol" w:hAnsi="Segoe UI Symbol" w:eastAsia="Segoe UI Symbol" w:ascii="Segoe UI Symbol"/>
        <w:b w:val="0"/>
        <w:i w:val="0"/>
        <w:strike w:val="0"/>
        <w:dstrike w:val="0"/>
        <w:color w:val="000000"/>
        <w:sz w:val="22"/>
        <w:szCs w:val="22"/>
        <w:u w:val="none" w:color="000000"/>
        <w:bdr w:val="none"/>
        <w:shd w:val="clear"/>
        <w:vertAlign w:val="baseline"/>
      </w:rPr>
    </w:lvl>
  </w:abstractNum>
  <w:abstractNum w:abstractNumId="26">
    <w:multiLevelType w:val="hybridMultilevel"/>
    <w:lvl w:ilvl="0">
      <w:start w:val="1"/>
      <w:numFmt w:val="bullet"/>
      <w:lvlText w:val="•"/>
      <w:pPr>
        <w:ind w:left="360"/>
      </w:pPr>
      <w:rPr>
        <w:rFonts w:cs="Calibri" w:hAnsi="Calibri" w:eastAsia="Calibri" w:ascii="Calibri"/>
        <w:b w:val="0"/>
        <w:i w:val="0"/>
        <w:strike w:val="0"/>
        <w:dstrike w:val="0"/>
        <w:color w:val="000000"/>
        <w:sz w:val="22"/>
        <w:szCs w:val="22"/>
        <w:u w:val="none" w:color="000000"/>
        <w:bdr w:val="none"/>
        <w:shd w:val="clear"/>
        <w:vertAlign w:val="baseline"/>
      </w:rPr>
    </w:lvl>
    <w:lvl w:ilvl="1">
      <w:start w:val="1"/>
      <w:numFmt w:val="bullet"/>
      <w:lvlText w:val="-"/>
      <w:pPr>
        <w:ind w:left="1419"/>
      </w:pPr>
      <w:rPr>
        <w:rFonts w:cs="Calibri" w:hAnsi="Calibri" w:eastAsia="Calibri" w:ascii="Calibri"/>
        <w:b w:val="0"/>
        <w:i w:val="0"/>
        <w:strike w:val="0"/>
        <w:dstrike w:val="0"/>
        <w:color w:val="000000"/>
        <w:sz w:val="22"/>
        <w:szCs w:val="22"/>
        <w:u w:val="none" w:color="000000"/>
        <w:bdr w:val="none"/>
        <w:shd w:val="clear"/>
        <w:vertAlign w:val="baseline"/>
      </w:rPr>
    </w:lvl>
    <w:lvl w:ilvl="2">
      <w:start w:val="1"/>
      <w:numFmt w:val="bullet"/>
      <w:lvlText w:val="▪"/>
      <w:pPr>
        <w:ind w:left="2213"/>
      </w:pPr>
      <w:rPr>
        <w:rFonts w:cs="Calibri" w:hAnsi="Calibri" w:eastAsia="Calibri" w:ascii="Calibri"/>
        <w:b w:val="0"/>
        <w:i w:val="0"/>
        <w:strike w:val="0"/>
        <w:dstrike w:val="0"/>
        <w:color w:val="000000"/>
        <w:sz w:val="22"/>
        <w:szCs w:val="22"/>
        <w:u w:val="none" w:color="000000"/>
        <w:bdr w:val="none"/>
        <w:shd w:val="clear"/>
        <w:vertAlign w:val="baseline"/>
      </w:rPr>
    </w:lvl>
    <w:lvl w:ilvl="3">
      <w:start w:val="1"/>
      <w:numFmt w:val="bullet"/>
      <w:lvlText w:val="•"/>
      <w:pPr>
        <w:ind w:left="2933"/>
      </w:pPr>
      <w:rPr>
        <w:rFonts w:cs="Calibri" w:hAnsi="Calibri" w:eastAsia="Calibri" w:ascii="Calibri"/>
        <w:b w:val="0"/>
        <w:i w:val="0"/>
        <w:strike w:val="0"/>
        <w:dstrike w:val="0"/>
        <w:color w:val="000000"/>
        <w:sz w:val="22"/>
        <w:szCs w:val="22"/>
        <w:u w:val="none" w:color="000000"/>
        <w:bdr w:val="none"/>
        <w:shd w:val="clear"/>
        <w:vertAlign w:val="baseline"/>
      </w:rPr>
    </w:lvl>
    <w:lvl w:ilvl="4">
      <w:start w:val="1"/>
      <w:numFmt w:val="bullet"/>
      <w:lvlText w:val="o"/>
      <w:pPr>
        <w:ind w:left="3653"/>
      </w:pPr>
      <w:rPr>
        <w:rFonts w:cs="Calibri" w:hAnsi="Calibri" w:eastAsia="Calibri" w:ascii="Calibri"/>
        <w:b w:val="0"/>
        <w:i w:val="0"/>
        <w:strike w:val="0"/>
        <w:dstrike w:val="0"/>
        <w:color w:val="000000"/>
        <w:sz w:val="22"/>
        <w:szCs w:val="22"/>
        <w:u w:val="none" w:color="000000"/>
        <w:bdr w:val="none"/>
        <w:shd w:val="clear"/>
        <w:vertAlign w:val="baseline"/>
      </w:rPr>
    </w:lvl>
    <w:lvl w:ilvl="5">
      <w:start w:val="1"/>
      <w:numFmt w:val="bullet"/>
      <w:lvlText w:val="▪"/>
      <w:pPr>
        <w:ind w:left="4373"/>
      </w:pPr>
      <w:rPr>
        <w:rFonts w:cs="Calibri" w:hAnsi="Calibri" w:eastAsia="Calibri" w:ascii="Calibri"/>
        <w:b w:val="0"/>
        <w:i w:val="0"/>
        <w:strike w:val="0"/>
        <w:dstrike w:val="0"/>
        <w:color w:val="000000"/>
        <w:sz w:val="22"/>
        <w:szCs w:val="22"/>
        <w:u w:val="none" w:color="000000"/>
        <w:bdr w:val="none"/>
        <w:shd w:val="clear"/>
        <w:vertAlign w:val="baseline"/>
      </w:rPr>
    </w:lvl>
    <w:lvl w:ilvl="6">
      <w:start w:val="1"/>
      <w:numFmt w:val="bullet"/>
      <w:lvlText w:val="•"/>
      <w:pPr>
        <w:ind w:left="5093"/>
      </w:pPr>
      <w:rPr>
        <w:rFonts w:cs="Calibri" w:hAnsi="Calibri" w:eastAsia="Calibri" w:ascii="Calibri"/>
        <w:b w:val="0"/>
        <w:i w:val="0"/>
        <w:strike w:val="0"/>
        <w:dstrike w:val="0"/>
        <w:color w:val="000000"/>
        <w:sz w:val="22"/>
        <w:szCs w:val="22"/>
        <w:u w:val="none" w:color="000000"/>
        <w:bdr w:val="none"/>
        <w:shd w:val="clear"/>
        <w:vertAlign w:val="baseline"/>
      </w:rPr>
    </w:lvl>
    <w:lvl w:ilvl="7">
      <w:start w:val="1"/>
      <w:numFmt w:val="bullet"/>
      <w:lvlText w:val="o"/>
      <w:pPr>
        <w:ind w:left="5813"/>
      </w:pPr>
      <w:rPr>
        <w:rFonts w:cs="Calibri" w:hAnsi="Calibri" w:eastAsia="Calibri" w:ascii="Calibri"/>
        <w:b w:val="0"/>
        <w:i w:val="0"/>
        <w:strike w:val="0"/>
        <w:dstrike w:val="0"/>
        <w:color w:val="000000"/>
        <w:sz w:val="22"/>
        <w:szCs w:val="22"/>
        <w:u w:val="none" w:color="000000"/>
        <w:bdr w:val="none"/>
        <w:shd w:val="clear"/>
        <w:vertAlign w:val="baseline"/>
      </w:rPr>
    </w:lvl>
    <w:lvl w:ilvl="8">
      <w:start w:val="1"/>
      <w:numFmt w:val="bullet"/>
      <w:lvlText w:val="▪"/>
      <w:pPr>
        <w:ind w:left="6533"/>
      </w:pPr>
      <w:rPr>
        <w:rFonts w:cs="Calibri" w:hAnsi="Calibri" w:eastAsia="Calibri" w:ascii="Calibri"/>
        <w:b w:val="0"/>
        <w:i w:val="0"/>
        <w:strike w:val="0"/>
        <w:dstrike w:val="0"/>
        <w:color w:val="000000"/>
        <w:sz w:val="22"/>
        <w:szCs w:val="22"/>
        <w:u w:val="none" w:color="000000"/>
        <w:bdr w:val="none"/>
        <w:shd w:val="clear"/>
        <w:vertAlign w:val="baseline"/>
      </w:rPr>
    </w:lvl>
  </w:abstractNum>
  <w:abstractNum w:abstractNumId="27">
    <w:multiLevelType w:val="hybridMultilevel"/>
    <w:lvl w:ilvl="0">
      <w:start w:val="1"/>
      <w:numFmt w:val="bullet"/>
      <w:lvlText w:val=""/>
      <w:pPr>
        <w:ind w:left="720"/>
      </w:pPr>
      <w:rPr>
        <w:rFonts w:cs="Wingdings" w:hAnsi="Wingdings" w:eastAsia="Wingdings" w:ascii="Wingdings"/>
        <w:b w:val="0"/>
        <w:i w:val="0"/>
        <w:strike w:val="0"/>
        <w:dstrike w:val="0"/>
        <w:color w:val="000000"/>
        <w:sz w:val="18"/>
        <w:szCs w:val="18"/>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18"/>
        <w:szCs w:val="18"/>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18"/>
        <w:szCs w:val="18"/>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18"/>
        <w:szCs w:val="18"/>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18"/>
        <w:szCs w:val="18"/>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18"/>
        <w:szCs w:val="18"/>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18"/>
        <w:szCs w:val="18"/>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18"/>
        <w:szCs w:val="18"/>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18"/>
        <w:szCs w:val="18"/>
        <w:u w:val="none" w:color="000000"/>
        <w:bdr w:val="none"/>
        <w:shd w:val="clear"/>
        <w:vertAlign w:val="baseline"/>
      </w:rPr>
    </w:lvl>
  </w:abstractNum>
  <w:abstractNum w:abstractNumId="28">
    <w:multiLevelType w:val="hybridMultilevel"/>
    <w:lvl w:ilvl="0">
      <w:start w:val="1"/>
      <w:numFmt w:val="bullet"/>
      <w:lvlText w:val=""/>
      <w:pPr>
        <w:ind w:left="720"/>
      </w:pPr>
      <w:rPr>
        <w:rFonts w:cs="Wingdings" w:hAnsi="Wingdings" w:eastAsia="Wingdings" w:ascii="Wingdings"/>
        <w:b w:val="0"/>
        <w:i w:val="0"/>
        <w:strike w:val="0"/>
        <w:dstrike w:val="0"/>
        <w:color w:val="000000"/>
        <w:sz w:val="18"/>
        <w:szCs w:val="18"/>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18"/>
        <w:szCs w:val="18"/>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18"/>
        <w:szCs w:val="18"/>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18"/>
        <w:szCs w:val="18"/>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18"/>
        <w:szCs w:val="18"/>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18"/>
        <w:szCs w:val="18"/>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18"/>
        <w:szCs w:val="18"/>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18"/>
        <w:szCs w:val="18"/>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18"/>
        <w:szCs w:val="18"/>
        <w:u w:val="none" w:color="000000"/>
        <w:bdr w:val="none"/>
        <w:shd w:val="clear"/>
        <w:vertAlign w:val="baseline"/>
      </w:rPr>
    </w:lvl>
  </w:abstractNum>
  <w:abstractNum w:abstractNumId="29">
    <w:multiLevelType w:val="hybridMultilevel"/>
    <w:lvl w:ilvl="0">
      <w:start w:val="1"/>
      <w:numFmt w:val="bullet"/>
      <w:lvlText w:val="•"/>
      <w:pPr>
        <w:ind w:left="917"/>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569"/>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2289"/>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3009"/>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729"/>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449"/>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5169"/>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889"/>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609"/>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30">
    <w:multiLevelType w:val="hybridMultilevel"/>
    <w:lvl w:ilvl="0">
      <w:start w:val="1"/>
      <w:numFmt w:val="bullet"/>
      <w:lvlText w:val="•"/>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31">
    <w:multiLevelType w:val="hybridMultilevel"/>
    <w:lvl w:ilvl="0">
      <w:start w:val="1"/>
      <w:numFmt w:val="bullet"/>
      <w:lvlText w:val="•"/>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32">
    <w:multiLevelType w:val="hybridMultilevel"/>
    <w:lvl w:ilvl="0">
      <w:start w:val="1"/>
      <w:numFmt w:val="bullet"/>
      <w:lvlText w:val="•"/>
      <w:pPr>
        <w:ind w:left="708"/>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2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94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6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3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510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8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5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33">
    <w:multiLevelType w:val="hybridMultilevel"/>
    <w:lvl w:ilvl="0">
      <w:start w:val="1"/>
      <w:numFmt w:val="bullet"/>
      <w:lvlText w:val="•"/>
      <w:pPr>
        <w:ind w:left="708"/>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50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22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948"/>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66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38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5108"/>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82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548"/>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34">
    <w:multiLevelType w:val="hybridMultilevel"/>
    <w:lvl w:ilvl="0">
      <w:start w:val="1"/>
      <w:numFmt w:val="bullet"/>
      <w:lvlText w:val="•"/>
      <w:pPr>
        <w:ind w:left="360"/>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footnotePr>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47" w:lineRule="auto"/>
      <w:ind w:left="1050" w:right="0" w:hanging="10"/>
      <w:jc w:val="both"/>
    </w:pPr>
    <w:rPr>
      <w:rFonts w:cs="Times New Roman" w:hAnsi="Times New Roman" w:eastAsia="Times New Roman" w:ascii="Times New Roman"/>
      <w:color w:val="000000"/>
      <w:sz w:val="22"/>
    </w:rPr>
  </w:style>
  <w:style w:type="paragraph" w:styleId="heading4">
    <w:name w:val="Heading 4"/>
    <w:next w:val="normal"/>
    <w:link w:val="heading4Char"/>
    <w:uiPriority w:val="9"/>
    <w:unhideWhenUsed/>
    <w:qFormat/>
    <w:pPr>
      <w:keepNext/>
      <w:keepLines/>
      <w:bidi w:val="0"/>
      <w:spacing w:before="0" w:after="0" w:line="259" w:lineRule="auto"/>
      <w:ind w:left="329" w:right="0" w:hanging="10"/>
      <w:jc w:val="left"/>
      <w:outlineLvl w:val="3"/>
    </w:pPr>
    <w:rPr>
      <w:rFonts w:cs="Times New Roman" w:hAnsi="Times New Roman" w:eastAsia="Times New Roman" w:ascii="Times New Roman"/>
      <w:color w:val="000000"/>
      <w:sz w:val="22"/>
      <w:u w:val="single" w:color="000000"/>
    </w:rPr>
  </w:style>
  <w:style w:type="character" w:styleId="heading4Char">
    <w:name w:val="Heading 4 Char"/>
    <w:link w:val="heading4"/>
    <w:rPr>
      <w:rFonts w:cs="Times New Roman" w:hAnsi="Times New Roman" w:eastAsia="Times New Roman" w:ascii="Times New Roman"/>
      <w:color w:val="000000"/>
      <w:sz w:val="22"/>
      <w:u w:val="single" w:color="000000"/>
    </w:rPr>
  </w:style>
  <w:style w:type="paragraph" w:styleId="heading2">
    <w:name w:val="Heading 2"/>
    <w:next w:val="normal"/>
    <w:link w:val="heading2Char"/>
    <w:uiPriority w:val="9"/>
    <w:unhideWhenUsed/>
    <w:qFormat/>
    <w:pPr>
      <w:keepNext/>
      <w:keepLines/>
      <w:bidi w:val="0"/>
      <w:spacing w:before="0" w:after="13" w:line="248" w:lineRule="auto"/>
      <w:ind w:left="329" w:right="0" w:hanging="10"/>
      <w:jc w:val="left"/>
      <w:outlineLvl w:val="1"/>
    </w:pPr>
    <w:rPr>
      <w:rFonts w:cs="Times New Roman" w:hAnsi="Times New Roman" w:eastAsia="Times New Roman" w:ascii="Times New Roman"/>
      <w:b w:val="1"/>
      <w:color w:val="000000"/>
      <w:sz w:val="28"/>
    </w:rPr>
  </w:style>
  <w:style w:type="character" w:styleId="heading2Char">
    <w:name w:val="Heading 2 Char"/>
    <w:link w:val="heading2"/>
    <w:rPr>
      <w:rFonts w:cs="Times New Roman" w:hAnsi="Times New Roman" w:eastAsia="Times New Roman" w:ascii="Times New Roman"/>
      <w:b w:val="1"/>
      <w:color w:val="000000"/>
      <w:sz w:val="28"/>
    </w:rPr>
  </w:style>
  <w:style w:type="paragraph" w:styleId="heading1">
    <w:name w:val="Heading 1"/>
    <w:next w:val="normal"/>
    <w:link w:val="heading1Char"/>
    <w:uiPriority w:val="9"/>
    <w:unhideWhenUsed/>
    <w:qFormat/>
    <w:pPr>
      <w:keepNext/>
      <w:keepLines/>
      <w:bidi w:val="0"/>
      <w:spacing w:before="0" w:after="0" w:line="259" w:lineRule="auto"/>
      <w:ind w:left="0" w:right="291" w:firstLine="0"/>
      <w:jc w:val="center"/>
      <w:outlineLvl w:val="0"/>
    </w:pPr>
    <w:rPr>
      <w:rFonts w:cs="Times New Roman" w:hAnsi="Times New Roman" w:eastAsia="Times New Roman" w:ascii="Times New Roman"/>
      <w:b w:val="1"/>
      <w:color w:val="000000"/>
      <w:sz w:val="32"/>
    </w:rPr>
  </w:style>
  <w:style w:type="character" w:styleId="heading1Char">
    <w:name w:val="Heading 1 Char"/>
    <w:link w:val="heading1"/>
    <w:rPr>
      <w:rFonts w:cs="Times New Roman" w:hAnsi="Times New Roman" w:eastAsia="Times New Roman" w:ascii="Times New Roman"/>
      <w:b w:val="1"/>
      <w:color w:val="000000"/>
      <w:sz w:val="32"/>
    </w:rPr>
  </w:style>
  <w:style w:type="paragraph" w:styleId="footnote description">
    <w:name w:val="footnote description"/>
    <w:next w:val="normal"/>
    <w:link w:val="footnote descriptionChar"/>
    <w:hidden/>
    <w:pPr>
      <w:bidi w:val="0"/>
      <w:spacing w:before="0" w:after="0" w:line="259" w:lineRule="auto"/>
      <w:ind w:left="319" w:right="0" w:firstLine="0"/>
      <w:jc w:val="left"/>
    </w:pPr>
    <w:rPr>
      <w:rFonts w:cs="Tw Cen MT" w:hAnsi="Tw Cen MT" w:eastAsia="Tw Cen MT" w:ascii="Tw Cen MT"/>
      <w:color w:val="000000"/>
      <w:sz w:val="16"/>
    </w:rPr>
  </w:style>
  <w:style w:type="character" w:styleId="footnote descriptionChar">
    <w:name w:val="footnote description Char"/>
    <w:link w:val="footnote description"/>
    <w:rPr>
      <w:rFonts w:cs="Tw Cen MT" w:hAnsi="Tw Cen MT" w:eastAsia="Tw Cen MT" w:ascii="Tw Cen MT"/>
      <w:color w:val="000000"/>
      <w:sz w:val="16"/>
    </w:rPr>
  </w:style>
  <w:style w:type="paragraph" w:styleId="heading5">
    <w:name w:val="Heading 5"/>
    <w:next w:val="normal"/>
    <w:link w:val="heading5Char"/>
    <w:uiPriority w:val="9"/>
    <w:unhideWhenUsed/>
    <w:qFormat/>
    <w:pPr>
      <w:keepNext/>
      <w:keepLines/>
      <w:bidi w:val="0"/>
      <w:spacing w:before="0" w:after="3" w:line="259" w:lineRule="auto"/>
      <w:ind w:left="10" w:right="0" w:hanging="10"/>
      <w:jc w:val="left"/>
      <w:outlineLvl w:val="4"/>
    </w:pPr>
    <w:rPr>
      <w:rFonts w:cs="Arial" w:hAnsi="Arial" w:eastAsia="Arial" w:ascii="Arial"/>
      <w:color w:val="000000"/>
      <w:sz w:val="18"/>
      <w:u w:val="single" w:color="000000"/>
    </w:rPr>
  </w:style>
  <w:style w:type="character" w:styleId="heading5Char">
    <w:name w:val="Heading 5 Char"/>
    <w:link w:val="heading5"/>
    <w:rPr>
      <w:rFonts w:cs="Arial" w:hAnsi="Arial" w:eastAsia="Arial" w:ascii="Arial"/>
      <w:color w:val="000000"/>
      <w:sz w:val="18"/>
      <w:u w:val="single" w:color="000000"/>
    </w:rPr>
  </w:style>
  <w:style w:type="paragraph" w:styleId="heading3">
    <w:name w:val="Heading 3"/>
    <w:next w:val="normal"/>
    <w:link w:val="heading3Char"/>
    <w:uiPriority w:val="9"/>
    <w:unhideWhenUsed/>
    <w:qFormat/>
    <w:pPr>
      <w:keepNext/>
      <w:keepLines/>
      <w:bidi w:val="0"/>
      <w:spacing w:before="0" w:after="10" w:line="249" w:lineRule="auto"/>
      <w:ind w:left="848" w:right="1065" w:hanging="10"/>
      <w:jc w:val="left"/>
      <w:outlineLvl w:val="2"/>
    </w:pPr>
    <w:rPr>
      <w:rFonts w:cs="Times New Roman" w:hAnsi="Times New Roman" w:eastAsia="Times New Roman" w:ascii="Times New Roman"/>
      <w:b w:val="1"/>
      <w:color w:val="000000"/>
      <w:sz w:val="24"/>
    </w:rPr>
  </w:style>
  <w:style w:type="character" w:styleId="heading3Char">
    <w:name w:val="Heading 3 Char"/>
    <w:link w:val="heading3"/>
    <w:rPr>
      <w:rFonts w:cs="Times New Roman" w:hAnsi="Times New Roman" w:eastAsia="Times New Roman" w:ascii="Times New Roman"/>
      <w:b w:val="1"/>
      <w:color w:val="000000"/>
      <w:sz w:val="24"/>
    </w:rPr>
  </w:style>
  <w:style w:type="character" w:styleId="footnote mark">
    <w:name w:val="footnote mark"/>
    <w:hidden/>
    <w:rPr>
      <w:rFonts w:cs="Tw Cen MT" w:hAnsi="Tw Cen MT" w:eastAsia="Tw Cen MT" w:ascii="Tw Cen MT"/>
      <w:color w:val="000000"/>
      <w:sz w:val="16"/>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26" Type="http://schemas.openxmlformats.org/officeDocument/2006/relationships/footer" Target="footer13.xml"/><Relationship Id="rId42" Type="http://schemas.openxmlformats.org/officeDocument/2006/relationships/footer" Target="footer21.xml"/><Relationship Id="rId63" Type="http://schemas.openxmlformats.org/officeDocument/2006/relationships/image" Target="media/image8.png"/><Relationship Id="rId21" Type="http://schemas.openxmlformats.org/officeDocument/2006/relationships/header" Target="header11.xml"/><Relationship Id="rId47" Type="http://schemas.openxmlformats.org/officeDocument/2006/relationships/header" Target="header24.xml"/><Relationship Id="rId68" Type="http://schemas.openxmlformats.org/officeDocument/2006/relationships/image" Target="media/image9.png"/><Relationship Id="rId7" Type="http://schemas.openxmlformats.org/officeDocument/2006/relationships/header" Target="header4.xml"/><Relationship Id="rId71" Type="http://schemas.openxmlformats.org/officeDocument/2006/relationships/customXml" Target="../customXml/item1.xml"/><Relationship Id="rId2" Type="http://schemas.openxmlformats.org/officeDocument/2006/relationships/footer" Target="footer1.xml"/><Relationship Id="rId29" Type="http://schemas.openxmlformats.org/officeDocument/2006/relationships/header" Target="header15.xml"/><Relationship Id="rId16" Type="http://schemas.openxmlformats.org/officeDocument/2006/relationships/footer" Target="footer8.xml"/><Relationship Id="rId37" Type="http://schemas.openxmlformats.org/officeDocument/2006/relationships/header" Target="header19.xml"/><Relationship Id="rId11" Type="http://schemas.openxmlformats.org/officeDocument/2006/relationships/header" Target="header6.xml"/><Relationship Id="rId40" Type="http://schemas.openxmlformats.org/officeDocument/2006/relationships/footer" Target="footer20.xml"/><Relationship Id="rId58" Type="http://schemas.openxmlformats.org/officeDocument/2006/relationships/image" Target="media/image0.jpg"/><Relationship Id="rId66" Type="http://schemas.openxmlformats.org/officeDocument/2006/relationships/image" Target="media/image11.png"/><Relationship Id="rId45" Type="http://schemas.openxmlformats.org/officeDocument/2006/relationships/header" Target="header23.xml"/><Relationship Id="rId32" Type="http://schemas.openxmlformats.org/officeDocument/2006/relationships/footer" Target="footer16.xml"/><Relationship Id="rId24" Type="http://schemas.openxmlformats.org/officeDocument/2006/relationships/footer" Target="footer12.xml"/><Relationship Id="rId74" Type="http://schemas.openxmlformats.org/officeDocument/2006/relationships/customXml" Target="../customXml/item4.xml"/><Relationship Id="rId5" Type="http://schemas.openxmlformats.org/officeDocument/2006/relationships/header" Target="header3.xml"/><Relationship Id="rId61" Type="http://schemas.openxmlformats.org/officeDocument/2006/relationships/image" Target="media/image3.png"/><Relationship Id="rId19" Type="http://schemas.openxmlformats.org/officeDocument/2006/relationships/header" Target="header10.xml"/><Relationship Id="rsStylesId" Type="http://schemas.openxmlformats.org/officeDocument/2006/relationships/styles" Target="styles.xml"/><Relationship Id="rId35" Type="http://schemas.openxmlformats.org/officeDocument/2006/relationships/header" Target="header18.xml"/><Relationship Id="rId22" Type="http://schemas.openxmlformats.org/officeDocument/2006/relationships/footer" Target="footer11.xml"/><Relationship Id="rId69" Type="http://schemas.openxmlformats.org/officeDocument/2006/relationships/image" Target="media/image10.png"/><Relationship Id="rId27" Type="http://schemas.openxmlformats.org/officeDocument/2006/relationships/header" Target="header14.xml"/><Relationship Id="rId14" Type="http://schemas.openxmlformats.org/officeDocument/2006/relationships/footer" Target="footer7.xml"/><Relationship Id="rId64" Type="http://schemas.openxmlformats.org/officeDocument/2006/relationships/image" Target="media/image5.png"/><Relationship Id="rId30" Type="http://schemas.openxmlformats.org/officeDocument/2006/relationships/footer" Target="footer15.xml"/><Relationship Id="rId48" Type="http://schemas.openxmlformats.org/officeDocument/2006/relationships/footer" Target="footer24.xml"/><Relationship Id="rId43" Type="http://schemas.openxmlformats.org/officeDocument/2006/relationships/header" Target="header22.xml"/><Relationship Id="rId8" Type="http://schemas.openxmlformats.org/officeDocument/2006/relationships/footer" Target="footer4.xml"/><Relationship Id="hyperlink27142" Type="http://schemas.openxmlformats.org/officeDocument/2006/relationships/hyperlink" Target="http://un.org/Docs/sc/commitees/1267/1267ListEng/htm" TargetMode="External"/><Relationship Id="rId72" Type="http://schemas.openxmlformats.org/officeDocument/2006/relationships/customXml" Target="../customXml/item2.xml"/><Relationship Id="rId3" Type="http://schemas.openxmlformats.org/officeDocument/2006/relationships/header" Target="header2.xml"/><Relationship Id="rId38" Type="http://schemas.openxmlformats.org/officeDocument/2006/relationships/footer" Target="footer19.xml"/><Relationship Id="rId46" Type="http://schemas.openxmlformats.org/officeDocument/2006/relationships/footer" Target="footer23.xml"/><Relationship Id="rId25" Type="http://schemas.openxmlformats.org/officeDocument/2006/relationships/header" Target="header13.xml"/><Relationship Id="rId33" Type="http://schemas.openxmlformats.org/officeDocument/2006/relationships/header" Target="header17.xml"/><Relationship Id="rId12" Type="http://schemas.openxmlformats.org/officeDocument/2006/relationships/footer" Target="footer6.xml"/><Relationship Id="rId67" Type="http://schemas.openxmlformats.org/officeDocument/2006/relationships/image" Target="media/image12.png"/><Relationship Id="rId59" Type="http://schemas.openxmlformats.org/officeDocument/2006/relationships/image" Target="media/image1.jpg"/><Relationship Id="rId17" Type="http://schemas.openxmlformats.org/officeDocument/2006/relationships/header" Target="header9.xml"/><Relationship Id="rId62" Type="http://schemas.openxmlformats.org/officeDocument/2006/relationships/image" Target="media/image7.png"/><Relationship Id="rId20" Type="http://schemas.openxmlformats.org/officeDocument/2006/relationships/footer" Target="footer10.xml"/><Relationship Id="rId41" Type="http://schemas.openxmlformats.org/officeDocument/2006/relationships/header" Target="header21.xml"/><Relationship Id="rId70" Type="http://schemas.openxmlformats.org/officeDocument/2006/relationships/image" Target="media/image4.jpg"/><Relationship Id="rId75" Type="http://schemas.openxmlformats.org/officeDocument/2006/relationships/customXml" Target="../customXml/item5.xml"/><Relationship Id="rId1" Type="http://schemas.openxmlformats.org/officeDocument/2006/relationships/header" Target="header1.xml"/><Relationship Id="rId6" Type="http://schemas.openxmlformats.org/officeDocument/2006/relationships/footer" Target="footer3.xml"/><Relationship Id="rId15" Type="http://schemas.openxmlformats.org/officeDocument/2006/relationships/header" Target="header8.xml"/><Relationship Id="rId23" Type="http://schemas.openxmlformats.org/officeDocument/2006/relationships/header" Target="header12.xml"/><Relationship Id="rId36" Type="http://schemas.openxmlformats.org/officeDocument/2006/relationships/footer" Target="footer18.xml"/><Relationship Id="rId28" Type="http://schemas.openxmlformats.org/officeDocument/2006/relationships/footer" Target="footer14.xml"/><Relationship Id="rId65" Type="http://schemas.openxmlformats.org/officeDocument/2006/relationships/image" Target="media/image6.png"/><Relationship Id="rId44" Type="http://schemas.openxmlformats.org/officeDocument/2006/relationships/footer" Target="footer22.xml"/><Relationship Id="rId31" Type="http://schemas.openxmlformats.org/officeDocument/2006/relationships/header" Target="header16.xml"/><Relationship Id="rId60" Type="http://schemas.openxmlformats.org/officeDocument/2006/relationships/image" Target="media/image2.jpg"/><Relationship Id="rId10" Type="http://schemas.openxmlformats.org/officeDocument/2006/relationships/footer" Target="footer5.xml"/><Relationship Id="rsNumberingId" Type="http://schemas.openxmlformats.org/officeDocument/2006/relationships/numbering" Target="numbering.xml"/><Relationship Id="rId73" Type="http://schemas.openxmlformats.org/officeDocument/2006/relationships/customXml" Target="../customXml/item3.xml"/><Relationship Id="rId4" Type="http://schemas.openxmlformats.org/officeDocument/2006/relationships/footer" Target="footer2.xml"/><Relationship Id="rId9" Type="http://schemas.openxmlformats.org/officeDocument/2006/relationships/header" Target="header5.xml"/><Relationship Id="rId13" Type="http://schemas.openxmlformats.org/officeDocument/2006/relationships/header" Target="header7.xml"/><Relationship Id="rId18" Type="http://schemas.openxmlformats.org/officeDocument/2006/relationships/footer" Target="footer9.xml"/><Relationship Id="rId39" Type="http://schemas.openxmlformats.org/officeDocument/2006/relationships/header" Target="header20.xml"/><Relationship Id="rsFootnotesId" Type="http://schemas.openxmlformats.org/officeDocument/2006/relationships/footnotes" Target="footnotes.xml"/><Relationship Id="rId34" Type="http://schemas.openxmlformats.org/officeDocument/2006/relationships/footer" Target="footer17.xml"/><Relationship Id="rsSettingsId" Type="http://schemas.openxmlformats.org/officeDocument/2006/relationships/settings" Target="settings.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2015-09-07T15:00:00+00:00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1207</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beb9a117-6427-4115-a382-607a6a2444f2</TermId>
        </TermInfo>
      </Terms>
    </gc6531b704974d528487414686b72f6f>
    <_dlc_DocId xmlns="f1161f5b-24a3-4c2d-bc81-44cb9325e8ee">ATLASPDC-4-37920</_dlc_DocId>
    <_dlc_DocIdUrl xmlns="f1161f5b-24a3-4c2d-bc81-44cb9325e8ee">
      <Url>https://info.undp.org/docs/pdc/_layouts/DocIdRedir.aspx?ID=ATLASPDC-4-37920</Url>
      <Description>ATLASPDC-4-37920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EF3524-34CD-4E71-BB6E-29EA639231F0}"/>
</file>

<file path=customXml/itemProps2.xml><?xml version="1.0" encoding="utf-8"?>
<ds:datastoreItem xmlns:ds="http://schemas.openxmlformats.org/officeDocument/2006/customXml" ds:itemID="{088DB19B-2023-44A3-901A-8BD9EE22866C}"/>
</file>

<file path=customXml/itemProps3.xml><?xml version="1.0" encoding="utf-8"?>
<ds:datastoreItem xmlns:ds="http://schemas.openxmlformats.org/officeDocument/2006/customXml" ds:itemID="{A388E48C-4B4F-4B6C-865B-48EDFA757F0A}"/>
</file>

<file path=customXml/itemProps4.xml><?xml version="1.0" encoding="utf-8"?>
<ds:datastoreItem xmlns:ds="http://schemas.openxmlformats.org/officeDocument/2006/customXml" ds:itemID="{591C660D-354A-44DB-8424-6511C0A4B472}"/>
</file>

<file path=customXml/itemProps5.xml><?xml version="1.0" encoding="utf-8"?>
<ds:datastoreItem xmlns:ds="http://schemas.openxmlformats.org/officeDocument/2006/customXml" ds:itemID="{98A424E6-6A5B-4405-9675-B22D8CB8C72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terms:created xsi:type="dcterms:W3CDTF">2015-09-07T15:38:49Z</dcterms:created>
  <dcterms:modified xsi:type="dcterms:W3CDTF">2015-09-07T15:38:49Z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1207;#BFA|beb9a117-6427-4115-a382-607a6a2444f2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f25eea07-521a-48ae-ae97-857ebbaebca9</vt:lpwstr>
  </property>
  <property fmtid="{D5CDD505-2E9C-101B-9397-08002B2CF9AE}" pid="18" name="URL">
    <vt:lpwstr/>
  </property>
  <property fmtid="{D5CDD505-2E9C-101B-9397-08002B2CF9AE}" pid="19" name="DocumentSetDescription">
    <vt:lpwstr/>
  </property>
</Properties>
</file>